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ADC6B" w14:textId="25AC915A" w:rsidR="00D94E6B" w:rsidRDefault="004B2F07"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 xml:space="preserve">CONSULTANCE TECHNIQUE SECURITE ALIMENTAIRE </w:t>
      </w:r>
    </w:p>
    <w:p w14:paraId="65C6AC04" w14:textId="4B9DF675" w:rsidR="003F026F" w:rsidRDefault="003F026F"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 xml:space="preserve">Burkina Faso &amp; Niger </w:t>
      </w:r>
    </w:p>
    <w:p w14:paraId="0604C91D" w14:textId="201C22D4" w:rsidR="00E961A5" w:rsidRPr="00CF68F9" w:rsidRDefault="004B2F07"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Janvier - Février</w:t>
      </w:r>
      <w:r w:rsidR="00E961A5">
        <w:rPr>
          <w:rFonts w:cs="Calibri,Bold"/>
          <w:b/>
          <w:bCs/>
          <w:sz w:val="32"/>
          <w:szCs w:val="32"/>
        </w:rPr>
        <w:t xml:space="preserve"> 202</w:t>
      </w:r>
      <w:r>
        <w:rPr>
          <w:rFonts w:cs="Calibri,Bold"/>
          <w:b/>
          <w:bCs/>
          <w:sz w:val="32"/>
          <w:szCs w:val="32"/>
        </w:rPr>
        <w:t>3</w:t>
      </w:r>
    </w:p>
    <w:p w14:paraId="11C209AC" w14:textId="77777777" w:rsidR="00EB756F" w:rsidRPr="00CF68F9" w:rsidRDefault="00EB756F"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p>
    <w:p w14:paraId="5BF9B465" w14:textId="77777777" w:rsidR="00640DBD" w:rsidRPr="00CF68F9" w:rsidRDefault="00DF30F0"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sidRPr="00CF68F9">
        <w:rPr>
          <w:rFonts w:cs="Calibri,Bold"/>
          <w:b/>
          <w:bCs/>
          <w:sz w:val="32"/>
          <w:szCs w:val="32"/>
        </w:rPr>
        <w:t>Termes de référence</w:t>
      </w:r>
    </w:p>
    <w:p w14:paraId="158A6747" w14:textId="77777777" w:rsidR="00640DBD" w:rsidRPr="00CF68F9" w:rsidRDefault="00640DBD" w:rsidP="00640DBD">
      <w:pPr>
        <w:pStyle w:val="Paragraphedeliste"/>
        <w:autoSpaceDE w:val="0"/>
        <w:autoSpaceDN w:val="0"/>
        <w:adjustRightInd w:val="0"/>
        <w:spacing w:after="0" w:line="240" w:lineRule="auto"/>
        <w:rPr>
          <w:rFonts w:cs="Calibri,Bold"/>
          <w:b/>
          <w:bCs/>
          <w:sz w:val="32"/>
          <w:szCs w:val="32"/>
        </w:rPr>
      </w:pPr>
    </w:p>
    <w:p w14:paraId="79A8C770" w14:textId="77777777" w:rsidR="00640DBD" w:rsidRPr="00285429" w:rsidRDefault="00640DBD" w:rsidP="00640DBD">
      <w:pPr>
        <w:pStyle w:val="Paragraphedeliste"/>
        <w:autoSpaceDE w:val="0"/>
        <w:autoSpaceDN w:val="0"/>
        <w:adjustRightInd w:val="0"/>
        <w:spacing w:after="0" w:line="240" w:lineRule="auto"/>
        <w:rPr>
          <w:rFonts w:cstheme="minorHAnsi"/>
          <w:b/>
          <w:bCs/>
        </w:rPr>
      </w:pPr>
    </w:p>
    <w:tbl>
      <w:tblPr>
        <w:tblStyle w:val="Grilledutableau"/>
        <w:tblW w:w="0" w:type="auto"/>
        <w:shd w:val="clear" w:color="auto" w:fill="002060"/>
        <w:tblLook w:val="04A0" w:firstRow="1" w:lastRow="0" w:firstColumn="1" w:lastColumn="0" w:noHBand="0" w:noVBand="1"/>
      </w:tblPr>
      <w:tblGrid>
        <w:gridCol w:w="10456"/>
      </w:tblGrid>
      <w:tr w:rsidR="00285429" w:rsidRPr="00285429" w14:paraId="76379094" w14:textId="77777777" w:rsidTr="00F449EE">
        <w:tc>
          <w:tcPr>
            <w:tcW w:w="10606" w:type="dxa"/>
            <w:shd w:val="clear" w:color="auto" w:fill="002060"/>
          </w:tcPr>
          <w:p w14:paraId="5AF7F9D0" w14:textId="77777777" w:rsidR="00285429" w:rsidRPr="00285429" w:rsidRDefault="00871463" w:rsidP="00E5453B">
            <w:pPr>
              <w:rPr>
                <w:rFonts w:cstheme="minorHAnsi"/>
                <w:b/>
                <w:sz w:val="24"/>
                <w:szCs w:val="24"/>
              </w:rPr>
            </w:pPr>
            <w:r>
              <w:rPr>
                <w:rFonts w:cstheme="minorHAnsi"/>
                <w:b/>
                <w:sz w:val="24"/>
                <w:szCs w:val="24"/>
              </w:rPr>
              <w:t>GE</w:t>
            </w:r>
            <w:r w:rsidRPr="00F449EE">
              <w:rPr>
                <w:rFonts w:cstheme="minorHAnsi"/>
                <w:b/>
                <w:sz w:val="24"/>
                <w:szCs w:val="24"/>
                <w:shd w:val="clear" w:color="auto" w:fill="002060"/>
              </w:rPr>
              <w:t>NERALITES</w:t>
            </w:r>
          </w:p>
        </w:tc>
      </w:tr>
    </w:tbl>
    <w:p w14:paraId="4CB26CCF" w14:textId="77777777" w:rsidR="00FA11EB" w:rsidRPr="00871463" w:rsidRDefault="00FA11EB" w:rsidP="009F687D">
      <w:pPr>
        <w:spacing w:line="240" w:lineRule="auto"/>
        <w:rPr>
          <w:rFonts w:cstheme="minorHAnsi"/>
        </w:rPr>
      </w:pP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7"/>
        <w:gridCol w:w="5911"/>
      </w:tblGrid>
      <w:tr w:rsidR="00EE3F75" w:rsidRPr="005E2A0E" w14:paraId="24C486F2" w14:textId="77777777" w:rsidTr="00B70ADA">
        <w:tc>
          <w:tcPr>
            <w:tcW w:w="2137" w:type="dxa"/>
          </w:tcPr>
          <w:p w14:paraId="74052287" w14:textId="77777777" w:rsidR="00EE3F75" w:rsidRPr="001807ED" w:rsidRDefault="00EE3F75" w:rsidP="001807ED">
            <w:pPr>
              <w:spacing w:after="0" w:line="240" w:lineRule="auto"/>
              <w:jc w:val="right"/>
              <w:rPr>
                <w:rFonts w:cstheme="minorHAnsi"/>
                <w:bCs/>
                <w:lang w:val="en-US"/>
              </w:rPr>
            </w:pPr>
            <w:proofErr w:type="spellStart"/>
            <w:r w:rsidRPr="001807ED">
              <w:rPr>
                <w:rFonts w:cstheme="minorHAnsi"/>
                <w:bCs/>
                <w:lang w:val="en-US"/>
              </w:rPr>
              <w:t>Programme</w:t>
            </w:r>
            <w:proofErr w:type="spellEnd"/>
            <w:r w:rsidRPr="001807ED">
              <w:rPr>
                <w:rFonts w:cstheme="minorHAnsi"/>
                <w:bCs/>
                <w:lang w:val="en-US"/>
              </w:rPr>
              <w:t> :</w:t>
            </w:r>
          </w:p>
        </w:tc>
        <w:tc>
          <w:tcPr>
            <w:tcW w:w="5911" w:type="dxa"/>
            <w:shd w:val="clear" w:color="auto" w:fill="FFFFFF"/>
          </w:tcPr>
          <w:p w14:paraId="040A9360" w14:textId="77777777" w:rsidR="00EE3F75" w:rsidRPr="00EB756F" w:rsidRDefault="00EB756F" w:rsidP="001807ED">
            <w:pPr>
              <w:spacing w:after="0" w:line="240" w:lineRule="auto"/>
              <w:rPr>
                <w:rFonts w:cstheme="minorHAnsi"/>
                <w:b/>
                <w:bCs/>
                <w:lang w:val="es-ES"/>
              </w:rPr>
            </w:pPr>
            <w:r w:rsidRPr="00EB756F">
              <w:rPr>
                <w:rFonts w:cstheme="minorHAnsi"/>
                <w:b/>
                <w:bCs/>
                <w:lang w:val="es-ES"/>
              </w:rPr>
              <w:t xml:space="preserve">SAHA – </w:t>
            </w:r>
            <w:r w:rsidRPr="001B5748">
              <w:rPr>
                <w:rFonts w:cstheme="minorHAnsi"/>
                <w:bCs/>
                <w:lang w:val="es-ES"/>
              </w:rPr>
              <w:t xml:space="preserve">Burkina Faso, </w:t>
            </w:r>
            <w:proofErr w:type="spellStart"/>
            <w:r w:rsidRPr="001B5748">
              <w:rPr>
                <w:rFonts w:cstheme="minorHAnsi"/>
                <w:bCs/>
                <w:lang w:val="es-ES"/>
              </w:rPr>
              <w:t>Niger</w:t>
            </w:r>
            <w:proofErr w:type="spellEnd"/>
            <w:r w:rsidRPr="001B5748">
              <w:rPr>
                <w:rFonts w:cstheme="minorHAnsi"/>
                <w:bCs/>
                <w:lang w:val="es-ES"/>
              </w:rPr>
              <w:t xml:space="preserve">, Togo, </w:t>
            </w:r>
            <w:proofErr w:type="spellStart"/>
            <w:r w:rsidRPr="001B5748">
              <w:rPr>
                <w:rFonts w:cstheme="minorHAnsi"/>
                <w:bCs/>
                <w:lang w:val="es-ES"/>
              </w:rPr>
              <w:t>Bénin</w:t>
            </w:r>
            <w:proofErr w:type="spellEnd"/>
          </w:p>
        </w:tc>
      </w:tr>
      <w:tr w:rsidR="00EE3F75" w:rsidRPr="005E2A0E" w14:paraId="3F481850" w14:textId="77777777" w:rsidTr="00B70ADA">
        <w:tc>
          <w:tcPr>
            <w:tcW w:w="2137" w:type="dxa"/>
          </w:tcPr>
          <w:p w14:paraId="2279A6D1" w14:textId="77777777" w:rsidR="00EE3F75" w:rsidRPr="001807ED" w:rsidRDefault="00EE3F75" w:rsidP="001807ED">
            <w:pPr>
              <w:spacing w:after="0" w:line="240" w:lineRule="auto"/>
              <w:jc w:val="right"/>
              <w:rPr>
                <w:rFonts w:cstheme="minorHAnsi"/>
                <w:bCs/>
              </w:rPr>
            </w:pPr>
            <w:r w:rsidRPr="001807ED">
              <w:rPr>
                <w:rFonts w:cstheme="minorHAnsi"/>
                <w:bCs/>
              </w:rPr>
              <w:t>Lieu de la mission :</w:t>
            </w:r>
          </w:p>
        </w:tc>
        <w:tc>
          <w:tcPr>
            <w:tcW w:w="5911" w:type="dxa"/>
            <w:shd w:val="clear" w:color="auto" w:fill="FFFFFF"/>
          </w:tcPr>
          <w:p w14:paraId="30015C8B" w14:textId="77777777" w:rsidR="00EE3F75" w:rsidRPr="00FA4823" w:rsidRDefault="00D94E6B" w:rsidP="00EB756F">
            <w:pPr>
              <w:spacing w:after="0" w:line="240" w:lineRule="auto"/>
              <w:rPr>
                <w:rFonts w:cstheme="minorHAnsi"/>
                <w:bCs/>
                <w:lang w:val="en-US"/>
              </w:rPr>
            </w:pPr>
            <w:r w:rsidRPr="00FA4823">
              <w:rPr>
                <w:rFonts w:cstheme="minorHAnsi"/>
                <w:bCs/>
                <w:lang w:val="en-US"/>
              </w:rPr>
              <w:t xml:space="preserve">Ouagadougou, </w:t>
            </w:r>
            <w:r w:rsidR="00871463" w:rsidRPr="00FA4823">
              <w:rPr>
                <w:rFonts w:cstheme="minorHAnsi"/>
                <w:bCs/>
                <w:lang w:val="en-US"/>
              </w:rPr>
              <w:t>Burkina Faso</w:t>
            </w:r>
            <w:r w:rsidR="003F026F" w:rsidRPr="00FA4823">
              <w:rPr>
                <w:rFonts w:cstheme="minorHAnsi"/>
                <w:bCs/>
                <w:lang w:val="en-US"/>
              </w:rPr>
              <w:t xml:space="preserve"> &amp; Niamey, Niger </w:t>
            </w:r>
          </w:p>
        </w:tc>
      </w:tr>
      <w:tr w:rsidR="00BF7A65" w:rsidRPr="00871463" w14:paraId="4AFE79CE" w14:textId="77777777" w:rsidTr="00B70ADA">
        <w:tc>
          <w:tcPr>
            <w:tcW w:w="2137" w:type="dxa"/>
          </w:tcPr>
          <w:p w14:paraId="4BD98A68" w14:textId="77777777" w:rsidR="00BF7A65" w:rsidRPr="001807ED" w:rsidRDefault="00BF7A65" w:rsidP="001807ED">
            <w:pPr>
              <w:spacing w:after="0" w:line="240" w:lineRule="auto"/>
              <w:jc w:val="right"/>
              <w:rPr>
                <w:rFonts w:cstheme="minorHAnsi"/>
                <w:bCs/>
              </w:rPr>
            </w:pPr>
            <w:r>
              <w:rPr>
                <w:rFonts w:cstheme="minorHAnsi"/>
                <w:bCs/>
              </w:rPr>
              <w:t xml:space="preserve">Type de mission : </w:t>
            </w:r>
          </w:p>
        </w:tc>
        <w:tc>
          <w:tcPr>
            <w:tcW w:w="5911" w:type="dxa"/>
            <w:shd w:val="clear" w:color="auto" w:fill="FFFFFF"/>
          </w:tcPr>
          <w:p w14:paraId="739F8D59" w14:textId="77777777" w:rsidR="00BF7A65" w:rsidRPr="001B5748" w:rsidRDefault="003F026F" w:rsidP="00EB756F">
            <w:pPr>
              <w:spacing w:after="0" w:line="240" w:lineRule="auto"/>
              <w:rPr>
                <w:rFonts w:cstheme="minorHAnsi"/>
                <w:bCs/>
              </w:rPr>
            </w:pPr>
            <w:r w:rsidRPr="001B5748">
              <w:rPr>
                <w:rFonts w:cstheme="minorHAnsi"/>
                <w:bCs/>
              </w:rPr>
              <w:t xml:space="preserve">Appui technique </w:t>
            </w:r>
          </w:p>
        </w:tc>
      </w:tr>
      <w:tr w:rsidR="00EE3F75" w:rsidRPr="005E2A0E" w14:paraId="549FF3BD" w14:textId="77777777" w:rsidTr="00B70ADA">
        <w:tc>
          <w:tcPr>
            <w:tcW w:w="2137" w:type="dxa"/>
          </w:tcPr>
          <w:p w14:paraId="1F93B206" w14:textId="77777777" w:rsidR="00EE3F75" w:rsidRPr="001807ED" w:rsidRDefault="00EE3F75" w:rsidP="001807ED">
            <w:pPr>
              <w:spacing w:after="0" w:line="240" w:lineRule="auto"/>
              <w:jc w:val="right"/>
              <w:rPr>
                <w:rFonts w:cstheme="minorHAnsi"/>
                <w:bCs/>
              </w:rPr>
            </w:pPr>
            <w:r w:rsidRPr="001807ED">
              <w:rPr>
                <w:rFonts w:cstheme="minorHAnsi"/>
                <w:bCs/>
              </w:rPr>
              <w:t>Responsable de la mission :</w:t>
            </w:r>
          </w:p>
        </w:tc>
        <w:tc>
          <w:tcPr>
            <w:tcW w:w="5911" w:type="dxa"/>
            <w:shd w:val="clear" w:color="auto" w:fill="FFFFFF"/>
          </w:tcPr>
          <w:p w14:paraId="1907A05E" w14:textId="1E6F6075" w:rsidR="00B70ADA" w:rsidRPr="005E2A0E" w:rsidRDefault="004B2F07" w:rsidP="001B5748">
            <w:pPr>
              <w:spacing w:after="0" w:line="259" w:lineRule="auto"/>
              <w:jc w:val="both"/>
              <w:rPr>
                <w:bCs/>
                <w:lang w:val="en-AU"/>
              </w:rPr>
            </w:pPr>
            <w:proofErr w:type="spellStart"/>
            <w:r w:rsidRPr="005E2A0E">
              <w:rPr>
                <w:bCs/>
                <w:lang w:val="en-AU"/>
              </w:rPr>
              <w:t>Pilar</w:t>
            </w:r>
            <w:proofErr w:type="spellEnd"/>
            <w:r w:rsidRPr="005E2A0E">
              <w:rPr>
                <w:bCs/>
                <w:lang w:val="en-AU"/>
              </w:rPr>
              <w:t xml:space="preserve"> DUAT LLORENS, Technical Head of Program SAHA</w:t>
            </w:r>
            <w:r w:rsidR="00B70ADA" w:rsidRPr="005E2A0E">
              <w:rPr>
                <w:bCs/>
                <w:lang w:val="en-AU"/>
              </w:rPr>
              <w:t xml:space="preserve"> </w:t>
            </w:r>
          </w:p>
        </w:tc>
      </w:tr>
      <w:tr w:rsidR="00EE3F75" w:rsidRPr="00871463" w14:paraId="15726B8F" w14:textId="77777777" w:rsidTr="00B70ADA">
        <w:tc>
          <w:tcPr>
            <w:tcW w:w="2137" w:type="dxa"/>
          </w:tcPr>
          <w:p w14:paraId="17568DB5" w14:textId="77777777" w:rsidR="00EE3F75" w:rsidRPr="001807ED" w:rsidRDefault="00EE3F75" w:rsidP="001807ED">
            <w:pPr>
              <w:spacing w:after="0" w:line="240" w:lineRule="auto"/>
              <w:jc w:val="right"/>
              <w:rPr>
                <w:rFonts w:cstheme="minorHAnsi"/>
                <w:bCs/>
              </w:rPr>
            </w:pPr>
            <w:r w:rsidRPr="001807ED">
              <w:rPr>
                <w:rFonts w:cstheme="minorHAnsi"/>
                <w:bCs/>
              </w:rPr>
              <w:t>Durée de la mission :</w:t>
            </w:r>
          </w:p>
        </w:tc>
        <w:tc>
          <w:tcPr>
            <w:tcW w:w="5911" w:type="dxa"/>
            <w:shd w:val="clear" w:color="auto" w:fill="FFFFFF"/>
          </w:tcPr>
          <w:p w14:paraId="01C51DB5" w14:textId="77777777" w:rsidR="00E665D1" w:rsidRPr="00B70ADA" w:rsidRDefault="00E665D1" w:rsidP="003F026F">
            <w:pPr>
              <w:spacing w:after="0" w:line="240" w:lineRule="auto"/>
              <w:rPr>
                <w:rFonts w:cstheme="minorHAnsi"/>
                <w:bCs/>
                <w:i/>
              </w:rPr>
            </w:pPr>
            <w:r w:rsidRPr="00B70ADA">
              <w:rPr>
                <w:rFonts w:cstheme="minorHAnsi"/>
                <w:bCs/>
                <w:i/>
              </w:rPr>
              <w:t>Dates exactes/répartition entre les 2 pays à confirmer avec les équipes opérationnelles et selon les possibilités de vols</w:t>
            </w:r>
          </w:p>
          <w:p w14:paraId="6E8721F5" w14:textId="4EB50723" w:rsidR="00EE3F75" w:rsidRPr="00B70ADA" w:rsidRDefault="003F026F" w:rsidP="003F026F">
            <w:pPr>
              <w:spacing w:after="0" w:line="240" w:lineRule="auto"/>
              <w:rPr>
                <w:rFonts w:cstheme="minorHAnsi"/>
                <w:b/>
                <w:bCs/>
              </w:rPr>
            </w:pPr>
            <w:r w:rsidRPr="00B70ADA">
              <w:rPr>
                <w:rFonts w:cstheme="minorHAnsi"/>
                <w:b/>
                <w:bCs/>
              </w:rPr>
              <w:t xml:space="preserve">6 semaines </w:t>
            </w:r>
          </w:p>
          <w:p w14:paraId="512E9F9A" w14:textId="1E520E9D" w:rsidR="003F026F" w:rsidRPr="00B70ADA" w:rsidRDefault="003F026F" w:rsidP="003F026F">
            <w:pPr>
              <w:spacing w:after="0" w:line="240" w:lineRule="auto"/>
              <w:rPr>
                <w:rFonts w:cstheme="minorHAnsi"/>
                <w:bCs/>
              </w:rPr>
            </w:pPr>
            <w:r w:rsidRPr="00B70ADA">
              <w:rPr>
                <w:rFonts w:cstheme="minorHAnsi"/>
                <w:bCs/>
              </w:rPr>
              <w:t xml:space="preserve">Au Burkina Faso : du </w:t>
            </w:r>
            <w:r w:rsidR="00686FFC">
              <w:rPr>
                <w:rFonts w:cstheme="minorHAnsi"/>
                <w:bCs/>
              </w:rPr>
              <w:t>10 au 30 Janvier</w:t>
            </w:r>
            <w:r w:rsidRPr="00B70ADA">
              <w:rPr>
                <w:rFonts w:cstheme="minorHAnsi"/>
                <w:bCs/>
              </w:rPr>
              <w:t xml:space="preserve"> </w:t>
            </w:r>
          </w:p>
          <w:p w14:paraId="04ADAA7F" w14:textId="638A9D72" w:rsidR="00E665D1" w:rsidRPr="00B70ADA" w:rsidRDefault="003F026F" w:rsidP="00E665D1">
            <w:pPr>
              <w:spacing w:after="0" w:line="240" w:lineRule="auto"/>
              <w:rPr>
                <w:rFonts w:cstheme="minorHAnsi"/>
                <w:bCs/>
              </w:rPr>
            </w:pPr>
            <w:r w:rsidRPr="00B70ADA">
              <w:rPr>
                <w:rFonts w:cstheme="minorHAnsi"/>
                <w:bCs/>
              </w:rPr>
              <w:t xml:space="preserve">Au Niger : du </w:t>
            </w:r>
            <w:r w:rsidR="00686FFC">
              <w:rPr>
                <w:rFonts w:cstheme="minorHAnsi"/>
                <w:bCs/>
              </w:rPr>
              <w:t>1r</w:t>
            </w:r>
            <w:r w:rsidR="00E665D1" w:rsidRPr="00B70ADA">
              <w:rPr>
                <w:rFonts w:cstheme="minorHAnsi"/>
                <w:bCs/>
              </w:rPr>
              <w:t xml:space="preserve"> </w:t>
            </w:r>
            <w:r w:rsidRPr="00B70ADA">
              <w:rPr>
                <w:rFonts w:cstheme="minorHAnsi"/>
                <w:bCs/>
              </w:rPr>
              <w:t xml:space="preserve">au </w:t>
            </w:r>
            <w:r w:rsidR="00686FFC">
              <w:rPr>
                <w:rFonts w:cstheme="minorHAnsi"/>
                <w:bCs/>
              </w:rPr>
              <w:t>23</w:t>
            </w:r>
            <w:r w:rsidR="00E665D1" w:rsidRPr="00B70ADA">
              <w:rPr>
                <w:rFonts w:cstheme="minorHAnsi"/>
                <w:bCs/>
              </w:rPr>
              <w:t xml:space="preserve"> </w:t>
            </w:r>
            <w:r w:rsidR="00686FFC">
              <w:rPr>
                <w:rFonts w:cstheme="minorHAnsi"/>
                <w:bCs/>
              </w:rPr>
              <w:t>février</w:t>
            </w:r>
          </w:p>
        </w:tc>
      </w:tr>
    </w:tbl>
    <w:p w14:paraId="619500DF" w14:textId="77777777" w:rsidR="00EE3F75" w:rsidRDefault="00EE3F75" w:rsidP="001807ED">
      <w:pPr>
        <w:spacing w:after="0"/>
        <w:rPr>
          <w:rFonts w:cstheme="minorHAnsi"/>
        </w:rPr>
      </w:pPr>
    </w:p>
    <w:p w14:paraId="2C4F667F" w14:textId="77777777" w:rsidR="00871463" w:rsidRPr="00285429" w:rsidRDefault="00871463" w:rsidP="00871463">
      <w:pPr>
        <w:pStyle w:val="Paragraphedeliste"/>
        <w:autoSpaceDE w:val="0"/>
        <w:autoSpaceDN w:val="0"/>
        <w:adjustRightInd w:val="0"/>
        <w:spacing w:after="0" w:line="240" w:lineRule="auto"/>
        <w:rPr>
          <w:rFonts w:cstheme="minorHAnsi"/>
          <w:b/>
          <w:bCs/>
        </w:rPr>
      </w:pPr>
    </w:p>
    <w:tbl>
      <w:tblPr>
        <w:tblStyle w:val="Grilledutableau"/>
        <w:tblW w:w="0" w:type="auto"/>
        <w:shd w:val="clear" w:color="auto" w:fill="BFBFBF" w:themeFill="background1" w:themeFillShade="BF"/>
        <w:tblLook w:val="04A0" w:firstRow="1" w:lastRow="0" w:firstColumn="1" w:lastColumn="0" w:noHBand="0" w:noVBand="1"/>
      </w:tblPr>
      <w:tblGrid>
        <w:gridCol w:w="10456"/>
      </w:tblGrid>
      <w:tr w:rsidR="00871463" w:rsidRPr="00285429" w14:paraId="300C46F2" w14:textId="77777777" w:rsidTr="00F449EE">
        <w:tc>
          <w:tcPr>
            <w:tcW w:w="10606" w:type="dxa"/>
            <w:shd w:val="clear" w:color="auto" w:fill="002060"/>
          </w:tcPr>
          <w:p w14:paraId="7D1BD6CC" w14:textId="77777777" w:rsidR="00871463" w:rsidRPr="00285429" w:rsidRDefault="00871463" w:rsidP="00871463">
            <w:pPr>
              <w:rPr>
                <w:rFonts w:cstheme="minorHAnsi"/>
                <w:b/>
                <w:sz w:val="24"/>
                <w:szCs w:val="24"/>
              </w:rPr>
            </w:pPr>
            <w:r>
              <w:rPr>
                <w:rFonts w:cstheme="minorHAnsi"/>
                <w:b/>
                <w:sz w:val="24"/>
                <w:szCs w:val="24"/>
              </w:rPr>
              <w:t>CONTEXTE ET JUSTIFICATION DE LA MISSION</w:t>
            </w:r>
          </w:p>
        </w:tc>
      </w:tr>
    </w:tbl>
    <w:p w14:paraId="620A8F0C" w14:textId="77777777" w:rsidR="00871463" w:rsidRDefault="00871463" w:rsidP="001807ED">
      <w:pPr>
        <w:spacing w:after="0" w:line="240" w:lineRule="auto"/>
        <w:rPr>
          <w:rFonts w:cstheme="minorHAnsi"/>
        </w:rPr>
      </w:pPr>
    </w:p>
    <w:p w14:paraId="4A1EB718" w14:textId="13A83BE8" w:rsidR="00D74067" w:rsidRPr="00B70ADA" w:rsidRDefault="00D74067" w:rsidP="00F449EE">
      <w:pPr>
        <w:pBdr>
          <w:bottom w:val="single" w:sz="4" w:space="1" w:color="auto"/>
        </w:pBdr>
        <w:spacing w:after="120" w:line="280" w:lineRule="exact"/>
        <w:jc w:val="both"/>
        <w:rPr>
          <w:rFonts w:cstheme="minorHAnsi"/>
          <w:b/>
          <w:lang w:eastAsia="en-GB"/>
        </w:rPr>
      </w:pPr>
      <w:r w:rsidRPr="00B70ADA">
        <w:rPr>
          <w:rFonts w:cstheme="minorHAnsi"/>
          <w:b/>
          <w:lang w:eastAsia="en-GB"/>
        </w:rPr>
        <w:t>Contexte humanitaire</w:t>
      </w:r>
    </w:p>
    <w:p w14:paraId="380EE170" w14:textId="24580DEC" w:rsidR="00ED52D8" w:rsidRPr="00B70ADA" w:rsidRDefault="00ED52D8" w:rsidP="00B70ADA">
      <w:pPr>
        <w:jc w:val="both"/>
        <w:rPr>
          <w:rFonts w:cstheme="minorHAnsi"/>
        </w:rPr>
      </w:pPr>
      <w:r w:rsidRPr="00B70ADA">
        <w:rPr>
          <w:rFonts w:cstheme="minorHAnsi"/>
        </w:rPr>
        <w:t xml:space="preserve">Le </w:t>
      </w:r>
      <w:r w:rsidRPr="00B70ADA">
        <w:rPr>
          <w:rFonts w:cstheme="minorHAnsi"/>
          <w:b/>
        </w:rPr>
        <w:t>Sahel central</w:t>
      </w:r>
      <w:r w:rsidRPr="00B70ADA">
        <w:rPr>
          <w:rFonts w:cstheme="minorHAnsi"/>
        </w:rPr>
        <w:t xml:space="preserve"> est confronté à une </w:t>
      </w:r>
      <w:r w:rsidRPr="00B70ADA">
        <w:rPr>
          <w:rFonts w:cstheme="minorHAnsi"/>
          <w:bCs/>
        </w:rPr>
        <w:t>grave crise humanitaire et de protection</w:t>
      </w:r>
      <w:r w:rsidRPr="00B70ADA">
        <w:rPr>
          <w:rFonts w:cstheme="minorHAnsi"/>
        </w:rPr>
        <w:t xml:space="preserve">, particulièrement dans les régions du Lac Tchad (Nigéria, Niger, Tchad, Cameroun) et du </w:t>
      </w:r>
      <w:proofErr w:type="spellStart"/>
      <w:r w:rsidRPr="00B70ADA">
        <w:rPr>
          <w:rFonts w:cstheme="minorHAnsi"/>
        </w:rPr>
        <w:t>Liptako</w:t>
      </w:r>
      <w:proofErr w:type="spellEnd"/>
      <w:r w:rsidRPr="00B70ADA">
        <w:rPr>
          <w:rFonts w:cstheme="minorHAnsi"/>
        </w:rPr>
        <w:t xml:space="preserve"> Gourma (zone dite des « trois frontières », Mali, Niger, Burkina Faso). La contagion de la crise sahélienne au Burkina Faso représente un facteur de régionalisation de la violence vers </w:t>
      </w:r>
      <w:r w:rsidR="00ED6E5A" w:rsidRPr="00B70ADA">
        <w:rPr>
          <w:rFonts w:cstheme="minorHAnsi"/>
        </w:rPr>
        <w:t>les pays côtiers</w:t>
      </w:r>
      <w:r w:rsidRPr="00B70ADA">
        <w:rPr>
          <w:rFonts w:cstheme="minorHAnsi"/>
        </w:rPr>
        <w:t xml:space="preserve">, ce dernier constituant le dernier « verrou » entre le Sahel et le golfe de Guinée. Les attaques de groupes armés contre des civils et les institutions de l'État, y compris les services sociaux de base comme les écoles et les établissements de santé, provoquent des déplacements massifs de populations dans une région en proie au changement climatique, à l'extrême pauvreté, et au manque d'opportunités économiques. La paupérisation des sols, les périodes de soudure de plus en plus longues associées à la l'intensification des conflits et acteurs armés entraînera de nouveaux déplacements de populations et une intensification des dynamiques conflictuelles. </w:t>
      </w:r>
    </w:p>
    <w:p w14:paraId="33FD35C1" w14:textId="0E2CA260" w:rsidR="009548A6" w:rsidRDefault="00347272" w:rsidP="00347272">
      <w:pPr>
        <w:spacing w:after="120"/>
        <w:jc w:val="both"/>
        <w:rPr>
          <w:lang w:eastAsia="en-GB"/>
        </w:rPr>
      </w:pPr>
      <w:r>
        <w:rPr>
          <w:lang w:eastAsia="en-GB"/>
        </w:rPr>
        <w:t>Le</w:t>
      </w:r>
      <w:r w:rsidR="00E33F96" w:rsidRPr="00D74067">
        <w:rPr>
          <w:lang w:eastAsia="en-GB"/>
        </w:rPr>
        <w:t xml:space="preserve"> </w:t>
      </w:r>
      <w:r w:rsidR="00E33F96" w:rsidRPr="00B70ADA">
        <w:rPr>
          <w:b/>
          <w:lang w:eastAsia="en-GB"/>
        </w:rPr>
        <w:t>Burkina Faso</w:t>
      </w:r>
      <w:r w:rsidR="003F026F">
        <w:rPr>
          <w:lang w:eastAsia="en-GB"/>
        </w:rPr>
        <w:t xml:space="preserve"> </w:t>
      </w:r>
      <w:r w:rsidR="009548A6" w:rsidRPr="009548A6">
        <w:rPr>
          <w:lang w:eastAsia="en-GB"/>
        </w:rPr>
        <w:t>est désormais le</w:t>
      </w:r>
      <w:r>
        <w:rPr>
          <w:lang w:eastAsia="en-GB"/>
        </w:rPr>
        <w:t xml:space="preserve"> pays le</w:t>
      </w:r>
      <w:r w:rsidR="009548A6" w:rsidRPr="009548A6">
        <w:rPr>
          <w:lang w:eastAsia="en-GB"/>
        </w:rPr>
        <w:t xml:space="preserve"> plus ciblé par les attaques de</w:t>
      </w:r>
      <w:r w:rsidR="009548A6">
        <w:rPr>
          <w:lang w:eastAsia="en-GB"/>
        </w:rPr>
        <w:t xml:space="preserve"> </w:t>
      </w:r>
      <w:r w:rsidR="009548A6" w:rsidRPr="009548A6">
        <w:rPr>
          <w:lang w:eastAsia="en-GB"/>
        </w:rPr>
        <w:t>G</w:t>
      </w:r>
      <w:r>
        <w:rPr>
          <w:lang w:eastAsia="en-GB"/>
        </w:rPr>
        <w:t>roupes armés non étatiques (G</w:t>
      </w:r>
      <w:r w:rsidR="009548A6" w:rsidRPr="009548A6">
        <w:rPr>
          <w:lang w:eastAsia="en-GB"/>
        </w:rPr>
        <w:t>ANE</w:t>
      </w:r>
      <w:r>
        <w:rPr>
          <w:lang w:eastAsia="en-GB"/>
        </w:rPr>
        <w:t>)</w:t>
      </w:r>
      <w:r w:rsidR="009548A6" w:rsidRPr="009548A6">
        <w:rPr>
          <w:lang w:eastAsia="en-GB"/>
        </w:rPr>
        <w:t xml:space="preserve"> dans la région.</w:t>
      </w:r>
      <w:r w:rsidR="009548A6">
        <w:rPr>
          <w:lang w:eastAsia="en-GB"/>
        </w:rPr>
        <w:t xml:space="preserve"> </w:t>
      </w:r>
      <w:r w:rsidR="009548A6" w:rsidRPr="009548A6">
        <w:rPr>
          <w:lang w:eastAsia="en-GB"/>
        </w:rPr>
        <w:t>Ces incidents affectent de plus en plus les populations civiles contraintes de fuir leur village pour aller</w:t>
      </w:r>
      <w:r w:rsidR="009548A6">
        <w:rPr>
          <w:lang w:eastAsia="en-GB"/>
        </w:rPr>
        <w:t xml:space="preserve"> </w:t>
      </w:r>
      <w:r w:rsidR="009548A6" w:rsidRPr="009548A6">
        <w:rPr>
          <w:lang w:eastAsia="en-GB"/>
        </w:rPr>
        <w:t>se réfugier dans des zones qu’elles considèrent plus</w:t>
      </w:r>
      <w:r w:rsidR="009548A6">
        <w:rPr>
          <w:lang w:eastAsia="en-GB"/>
        </w:rPr>
        <w:t xml:space="preserve"> </w:t>
      </w:r>
      <w:r>
        <w:rPr>
          <w:lang w:eastAsia="en-GB"/>
        </w:rPr>
        <w:t xml:space="preserve">sécurisées ; </w:t>
      </w:r>
      <w:r w:rsidR="009548A6" w:rsidRPr="009548A6">
        <w:rPr>
          <w:lang w:eastAsia="en-GB"/>
        </w:rPr>
        <w:t>t</w:t>
      </w:r>
      <w:r>
        <w:rPr>
          <w:lang w:eastAsia="en-GB"/>
        </w:rPr>
        <w:t>rès souvent des centres urbains</w:t>
      </w:r>
      <w:r w:rsidR="009548A6" w:rsidRPr="009548A6">
        <w:rPr>
          <w:lang w:eastAsia="en-GB"/>
        </w:rPr>
        <w:t>. Les</w:t>
      </w:r>
      <w:r w:rsidR="009548A6">
        <w:rPr>
          <w:lang w:eastAsia="en-GB"/>
        </w:rPr>
        <w:t xml:space="preserve"> </w:t>
      </w:r>
      <w:r w:rsidR="009548A6" w:rsidRPr="009548A6">
        <w:rPr>
          <w:lang w:eastAsia="en-GB"/>
        </w:rPr>
        <w:t xml:space="preserve">principales zones d’accueil des </w:t>
      </w:r>
      <w:r>
        <w:rPr>
          <w:lang w:eastAsia="en-GB"/>
        </w:rPr>
        <w:t>personnes déplacées internes (</w:t>
      </w:r>
      <w:r w:rsidR="009548A6" w:rsidRPr="009548A6">
        <w:rPr>
          <w:lang w:eastAsia="en-GB"/>
        </w:rPr>
        <w:t>PDI</w:t>
      </w:r>
      <w:r>
        <w:rPr>
          <w:lang w:eastAsia="en-GB"/>
        </w:rPr>
        <w:t>)</w:t>
      </w:r>
      <w:r w:rsidR="009548A6" w:rsidRPr="009548A6">
        <w:rPr>
          <w:lang w:eastAsia="en-GB"/>
        </w:rPr>
        <w:t xml:space="preserve"> actuellement sont la région du</w:t>
      </w:r>
      <w:r w:rsidR="009548A6">
        <w:rPr>
          <w:lang w:eastAsia="en-GB"/>
        </w:rPr>
        <w:t xml:space="preserve"> </w:t>
      </w:r>
      <w:r w:rsidR="009548A6" w:rsidRPr="009548A6">
        <w:rPr>
          <w:lang w:eastAsia="en-GB"/>
        </w:rPr>
        <w:t>Sahel avec 568 598 PDI (30,7%)</w:t>
      </w:r>
      <w:r w:rsidR="009548A6">
        <w:rPr>
          <w:lang w:eastAsia="en-GB"/>
        </w:rPr>
        <w:t xml:space="preserve"> </w:t>
      </w:r>
      <w:r w:rsidR="009548A6" w:rsidRPr="009548A6">
        <w:rPr>
          <w:lang w:eastAsia="en-GB"/>
        </w:rPr>
        <w:t xml:space="preserve">dont 329 523 dans la province du Soum et 127 835 dans la province du </w:t>
      </w:r>
      <w:proofErr w:type="spellStart"/>
      <w:r w:rsidR="009548A6" w:rsidRPr="009548A6">
        <w:rPr>
          <w:lang w:eastAsia="en-GB"/>
        </w:rPr>
        <w:t>Seno</w:t>
      </w:r>
      <w:proofErr w:type="spellEnd"/>
      <w:r w:rsidR="009548A6" w:rsidRPr="009548A6">
        <w:rPr>
          <w:lang w:eastAsia="en-GB"/>
        </w:rPr>
        <w:t xml:space="preserve"> ; le Centre-Nord avec 655</w:t>
      </w:r>
      <w:r w:rsidR="009548A6">
        <w:rPr>
          <w:lang w:eastAsia="en-GB"/>
        </w:rPr>
        <w:t xml:space="preserve"> </w:t>
      </w:r>
      <w:r w:rsidR="009548A6" w:rsidRPr="009548A6">
        <w:rPr>
          <w:lang w:eastAsia="en-GB"/>
        </w:rPr>
        <w:t>891 PDI (35,4%). Ces derniers entraînent d’importants mouvements de populations à l'intérieur du</w:t>
      </w:r>
      <w:r w:rsidR="009548A6">
        <w:rPr>
          <w:lang w:eastAsia="en-GB"/>
        </w:rPr>
        <w:t xml:space="preserve"> </w:t>
      </w:r>
      <w:r w:rsidR="009548A6" w:rsidRPr="009548A6">
        <w:rPr>
          <w:lang w:eastAsia="en-GB"/>
        </w:rPr>
        <w:t>pays</w:t>
      </w:r>
      <w:r w:rsidR="009548A6">
        <w:rPr>
          <w:lang w:eastAsia="en-GB"/>
        </w:rPr>
        <w:t xml:space="preserve"> </w:t>
      </w:r>
      <w:r w:rsidR="009548A6" w:rsidRPr="009548A6">
        <w:rPr>
          <w:lang w:eastAsia="en-GB"/>
        </w:rPr>
        <w:t>: au 31 mars 2022, 1 850 293 PDI ont été enregistrées (CONASUR).</w:t>
      </w:r>
      <w:r w:rsidR="009548A6">
        <w:rPr>
          <w:lang w:eastAsia="en-GB"/>
        </w:rPr>
        <w:t xml:space="preserve"> </w:t>
      </w:r>
      <w:r w:rsidR="009548A6" w:rsidRPr="009548A6">
        <w:rPr>
          <w:lang w:eastAsia="en-GB"/>
        </w:rPr>
        <w:t>L'escalade de la violence combinée à des chocs et stress climatiques récurrents contribuant à une crise</w:t>
      </w:r>
      <w:r w:rsidR="009548A6">
        <w:rPr>
          <w:lang w:eastAsia="en-GB"/>
        </w:rPr>
        <w:t xml:space="preserve"> </w:t>
      </w:r>
      <w:r w:rsidR="009548A6" w:rsidRPr="009548A6">
        <w:rPr>
          <w:lang w:eastAsia="en-GB"/>
        </w:rPr>
        <w:t>agro-pastorale, entraînent des besoins humanitaires croissants et une crise de protection sans</w:t>
      </w:r>
      <w:r w:rsidR="009548A6">
        <w:rPr>
          <w:lang w:eastAsia="en-GB"/>
        </w:rPr>
        <w:t xml:space="preserve"> </w:t>
      </w:r>
      <w:r w:rsidR="009548A6" w:rsidRPr="009548A6">
        <w:rPr>
          <w:lang w:eastAsia="en-GB"/>
        </w:rPr>
        <w:t xml:space="preserve">précédent pour des populations déjà vulnérables. </w:t>
      </w:r>
    </w:p>
    <w:p w14:paraId="7D7FA3DA" w14:textId="6AF36F55" w:rsidR="004177F3" w:rsidRPr="004177F3" w:rsidRDefault="004177F3" w:rsidP="00347272">
      <w:pPr>
        <w:spacing w:after="0"/>
        <w:jc w:val="both"/>
        <w:rPr>
          <w:lang w:eastAsia="en-GB"/>
        </w:rPr>
      </w:pPr>
      <w:r>
        <w:rPr>
          <w:lang w:eastAsia="en-GB"/>
        </w:rPr>
        <w:lastRenderedPageBreak/>
        <w:t>La</w:t>
      </w:r>
      <w:r w:rsidRPr="004177F3">
        <w:rPr>
          <w:lang w:eastAsia="en-GB"/>
        </w:rPr>
        <w:t xml:space="preserve"> situation sécuritaire pousse les populations déplacées à rester dans les localités d’accueil, et réduit les possibilités de retour</w:t>
      </w:r>
      <w:r>
        <w:rPr>
          <w:lang w:eastAsia="en-GB"/>
        </w:rPr>
        <w:t xml:space="preserve"> </w:t>
      </w:r>
      <w:r w:rsidRPr="004177F3">
        <w:rPr>
          <w:lang w:eastAsia="en-GB"/>
        </w:rPr>
        <w:t>dans les localités d’origine. On note par ailleurs un besoin criant d’appui à la couverture des besoins de base et à l’identification des personnes vulnérables afin d’assurer une réponse humanitaire en</w:t>
      </w:r>
      <w:r>
        <w:rPr>
          <w:lang w:eastAsia="en-GB"/>
        </w:rPr>
        <w:t xml:space="preserve"> </w:t>
      </w:r>
      <w:r w:rsidRPr="004177F3">
        <w:rPr>
          <w:lang w:eastAsia="en-GB"/>
        </w:rPr>
        <w:t>adéquation avec leurs besoins spécifiques.</w:t>
      </w:r>
    </w:p>
    <w:p w14:paraId="6DA16BAE" w14:textId="77777777" w:rsidR="00347272" w:rsidRDefault="004177F3" w:rsidP="00347272">
      <w:pPr>
        <w:spacing w:after="0"/>
        <w:jc w:val="both"/>
        <w:rPr>
          <w:lang w:eastAsia="en-GB"/>
        </w:rPr>
      </w:pPr>
      <w:r w:rsidRPr="004177F3">
        <w:rPr>
          <w:lang w:eastAsia="en-GB"/>
        </w:rPr>
        <w:t>Selon les résultats du Cadre Harmonisé de mars 2022, au Burkina Faso 9 provinces sont en phase 3 –crise- et 1 province en phase 4</w:t>
      </w:r>
      <w:r>
        <w:rPr>
          <w:lang w:eastAsia="en-GB"/>
        </w:rPr>
        <w:t xml:space="preserve"> </w:t>
      </w:r>
      <w:r w:rsidRPr="004177F3">
        <w:rPr>
          <w:lang w:eastAsia="en-GB"/>
        </w:rPr>
        <w:t>–urgence- pour la période mars à mai. En situation projetée, 4 communes actuellement en phase 3 passeront à phase 4, parmi lesquelles le</w:t>
      </w:r>
      <w:r>
        <w:rPr>
          <w:lang w:eastAsia="en-GB"/>
        </w:rPr>
        <w:t xml:space="preserve"> </w:t>
      </w:r>
      <w:proofErr w:type="spellStart"/>
      <w:r w:rsidRPr="004177F3">
        <w:rPr>
          <w:lang w:eastAsia="en-GB"/>
        </w:rPr>
        <w:t>Seno</w:t>
      </w:r>
      <w:proofErr w:type="spellEnd"/>
      <w:r w:rsidRPr="004177F3">
        <w:rPr>
          <w:lang w:eastAsia="en-GB"/>
        </w:rPr>
        <w:t xml:space="preserve"> et le </w:t>
      </w:r>
      <w:proofErr w:type="spellStart"/>
      <w:r w:rsidRPr="004177F3">
        <w:rPr>
          <w:lang w:eastAsia="en-GB"/>
        </w:rPr>
        <w:t>Yagha</w:t>
      </w:r>
      <w:proofErr w:type="spellEnd"/>
      <w:r w:rsidRPr="004177F3">
        <w:rPr>
          <w:lang w:eastAsia="en-GB"/>
        </w:rPr>
        <w:t xml:space="preserve"> (Sahel). Selon le bulletin conjoint du PAM et SONAGES, cette année il y a eu une augmentation des prix des céréales de</w:t>
      </w:r>
      <w:r>
        <w:rPr>
          <w:lang w:eastAsia="en-GB"/>
        </w:rPr>
        <w:t xml:space="preserve"> </w:t>
      </w:r>
      <w:r w:rsidRPr="004177F3">
        <w:rPr>
          <w:lang w:eastAsia="en-GB"/>
        </w:rPr>
        <w:t>base de 38% par rapport à la moyenne de 2021 et de 46% par rapport à la moyenne quinquennale, un faible niveau des stocks</w:t>
      </w:r>
      <w:r>
        <w:rPr>
          <w:lang w:eastAsia="en-GB"/>
        </w:rPr>
        <w:t xml:space="preserve"> </w:t>
      </w:r>
      <w:r w:rsidRPr="004177F3">
        <w:rPr>
          <w:lang w:eastAsia="en-GB"/>
        </w:rPr>
        <w:t xml:space="preserve">commerçants dans les marchés, et des perspectives de baisse saisonnière de l’offre céréalière. </w:t>
      </w:r>
      <w:r w:rsidR="006C2DC4">
        <w:rPr>
          <w:lang w:eastAsia="en-GB"/>
        </w:rPr>
        <w:t>L</w:t>
      </w:r>
      <w:r w:rsidR="006C2DC4" w:rsidRPr="006C2DC4">
        <w:rPr>
          <w:lang w:eastAsia="en-GB"/>
        </w:rPr>
        <w:t>a crise alimentaire cette année et la flambée des prix rendent insuffisantes les aides qui étaient prévues avant la revue</w:t>
      </w:r>
      <w:r w:rsidR="006C2DC4">
        <w:rPr>
          <w:lang w:eastAsia="en-GB"/>
        </w:rPr>
        <w:t xml:space="preserve"> </w:t>
      </w:r>
      <w:r w:rsidR="006C2DC4" w:rsidRPr="006C2DC4">
        <w:rPr>
          <w:lang w:eastAsia="en-GB"/>
        </w:rPr>
        <w:t xml:space="preserve">du panier alimentaire. </w:t>
      </w:r>
    </w:p>
    <w:p w14:paraId="2B263356" w14:textId="57FBB025" w:rsidR="009548A6" w:rsidRDefault="006C2DC4" w:rsidP="00347272">
      <w:pPr>
        <w:spacing w:after="0"/>
        <w:jc w:val="both"/>
        <w:rPr>
          <w:lang w:eastAsia="en-GB"/>
        </w:rPr>
      </w:pPr>
      <w:r w:rsidRPr="006C2DC4">
        <w:rPr>
          <w:lang w:eastAsia="en-GB"/>
        </w:rPr>
        <w:t xml:space="preserve">Une enquête faite par HI auprès des ménages TP déplacés dans la commune de </w:t>
      </w:r>
      <w:proofErr w:type="spellStart"/>
      <w:r w:rsidRPr="006C2DC4">
        <w:rPr>
          <w:lang w:eastAsia="en-GB"/>
        </w:rPr>
        <w:t>Sebba</w:t>
      </w:r>
      <w:proofErr w:type="spellEnd"/>
      <w:r w:rsidRPr="006C2DC4">
        <w:rPr>
          <w:lang w:eastAsia="en-GB"/>
        </w:rPr>
        <w:t xml:space="preserve"> (province du </w:t>
      </w:r>
      <w:proofErr w:type="spellStart"/>
      <w:r w:rsidRPr="006C2DC4">
        <w:rPr>
          <w:lang w:eastAsia="en-GB"/>
        </w:rPr>
        <w:t>Yagha</w:t>
      </w:r>
      <w:proofErr w:type="spellEnd"/>
      <w:r w:rsidRPr="006C2DC4">
        <w:rPr>
          <w:lang w:eastAsia="en-GB"/>
        </w:rPr>
        <w:t>) en</w:t>
      </w:r>
      <w:r>
        <w:rPr>
          <w:lang w:eastAsia="en-GB"/>
        </w:rPr>
        <w:t xml:space="preserve"> </w:t>
      </w:r>
      <w:r w:rsidRPr="006C2DC4">
        <w:rPr>
          <w:lang w:eastAsia="en-GB"/>
        </w:rPr>
        <w:t>janvier 2022 montre que 34% des ménages ont un SCA faible, 56% limite et seulement 8% ont un SCA acceptable. La situation s’est</w:t>
      </w:r>
      <w:r>
        <w:rPr>
          <w:lang w:eastAsia="en-GB"/>
        </w:rPr>
        <w:t xml:space="preserve"> </w:t>
      </w:r>
      <w:r w:rsidRPr="006C2DC4">
        <w:rPr>
          <w:lang w:eastAsia="en-GB"/>
        </w:rPr>
        <w:t>dégradée encore plus ces derniers mois, avec l’installation précoce de la soudure.</w:t>
      </w:r>
    </w:p>
    <w:p w14:paraId="70FA8542" w14:textId="1CA017AB" w:rsidR="00ED52D8" w:rsidRDefault="00ED52D8" w:rsidP="006C2DC4">
      <w:pPr>
        <w:spacing w:after="0" w:line="240" w:lineRule="auto"/>
        <w:jc w:val="both"/>
        <w:rPr>
          <w:lang w:eastAsia="en-GB"/>
        </w:rPr>
      </w:pPr>
    </w:p>
    <w:p w14:paraId="77B6FF1D" w14:textId="517022D7" w:rsidR="00F449EE" w:rsidRDefault="008A2788" w:rsidP="00F449EE">
      <w:pPr>
        <w:spacing w:after="0"/>
        <w:jc w:val="both"/>
        <w:rPr>
          <w:rFonts w:eastAsia="Times New Roman" w:cstheme="minorHAnsi"/>
          <w:szCs w:val="20"/>
          <w:lang w:val="fr-ML"/>
        </w:rPr>
      </w:pPr>
      <w:r w:rsidRPr="00347272">
        <w:rPr>
          <w:rFonts w:eastAsia="Times New Roman" w:cstheme="minorHAnsi"/>
          <w:szCs w:val="20"/>
          <w:lang w:val="fr-ML"/>
        </w:rPr>
        <w:t xml:space="preserve">Outre les besoins alimentaires causés par la crise sécuritaire que connaît le </w:t>
      </w:r>
      <w:r w:rsidRPr="00347272">
        <w:rPr>
          <w:rFonts w:eastAsia="Times New Roman" w:cstheme="minorHAnsi"/>
          <w:b/>
          <w:szCs w:val="20"/>
          <w:lang w:val="fr-ML"/>
        </w:rPr>
        <w:t xml:space="preserve">Niger </w:t>
      </w:r>
      <w:r w:rsidRPr="00347272">
        <w:rPr>
          <w:rFonts w:eastAsia="Times New Roman" w:cstheme="minorHAnsi"/>
          <w:szCs w:val="20"/>
          <w:lang w:val="fr-ML"/>
        </w:rPr>
        <w:t xml:space="preserve">à l’instar des autres pays du sahel, le pays subit </w:t>
      </w:r>
      <w:r w:rsidR="00686FFC">
        <w:rPr>
          <w:rFonts w:eastAsia="Times New Roman" w:cstheme="minorHAnsi"/>
          <w:szCs w:val="20"/>
          <w:lang w:val="fr-ML"/>
        </w:rPr>
        <w:t xml:space="preserve">de manière </w:t>
      </w:r>
      <w:r w:rsidRPr="00347272">
        <w:rPr>
          <w:rFonts w:eastAsia="Times New Roman" w:cstheme="minorHAnsi"/>
          <w:szCs w:val="20"/>
          <w:lang w:val="fr-ML"/>
        </w:rPr>
        <w:t xml:space="preserve">récurrente depuis plusieurs années, les aléas climatiques importants. </w:t>
      </w:r>
    </w:p>
    <w:p w14:paraId="4A012194" w14:textId="77777777" w:rsidR="00F449EE" w:rsidRPr="00F449EE" w:rsidRDefault="00F449EE" w:rsidP="00F449EE">
      <w:pPr>
        <w:spacing w:after="0"/>
        <w:jc w:val="both"/>
        <w:rPr>
          <w:rFonts w:eastAsia="Times New Roman" w:cstheme="minorHAnsi"/>
          <w:szCs w:val="20"/>
          <w:lang w:val="fr-ML"/>
        </w:rPr>
      </w:pPr>
    </w:p>
    <w:p w14:paraId="01899834" w14:textId="1F6FB05A" w:rsidR="00F449EE" w:rsidRDefault="00F449EE" w:rsidP="00F449EE">
      <w:pPr>
        <w:spacing w:after="0"/>
        <w:jc w:val="both"/>
        <w:rPr>
          <w:lang w:val="fr-ML"/>
        </w:rPr>
      </w:pPr>
      <w:r w:rsidRPr="00B21940">
        <w:t xml:space="preserve">L’état de la mise en œuvre du plan d’urgence et du plan de soutien 2022 (update juillet 2022) présente un gap global de plus de 75% sur le résultat 1 qui vise à </w:t>
      </w:r>
      <w:r w:rsidR="00686FFC">
        <w:rPr>
          <w:lang w:val="fr-ML"/>
        </w:rPr>
        <w:t>l</w:t>
      </w:r>
      <w:r w:rsidRPr="00B21940">
        <w:rPr>
          <w:lang w:val="fr-ML"/>
        </w:rPr>
        <w:t>’amélioration de l'accès aux aliments et nutriments sains et diversifiés des populations cibles.</w:t>
      </w:r>
      <w:r>
        <w:rPr>
          <w:lang w:val="fr-ML"/>
        </w:rPr>
        <w:t xml:space="preserve"> Les régions de Tillabéry, Tahoua et Diffa seront respectivement les plus impactés car en plus du déficit céréalier et des inondations importantes, ces régions accueillent des</w:t>
      </w:r>
      <w:r w:rsidR="00686FFC">
        <w:rPr>
          <w:lang w:val="fr-ML"/>
        </w:rPr>
        <w:t xml:space="preserve"> personnes</w:t>
      </w:r>
      <w:r>
        <w:rPr>
          <w:lang w:val="fr-ML"/>
        </w:rPr>
        <w:t xml:space="preserve"> déplacé</w:t>
      </w:r>
      <w:r w:rsidR="00686FFC">
        <w:rPr>
          <w:lang w:val="fr-ML"/>
        </w:rPr>
        <w:t>e</w:t>
      </w:r>
      <w:r>
        <w:rPr>
          <w:lang w:val="fr-ML"/>
        </w:rPr>
        <w:t>s.</w:t>
      </w:r>
    </w:p>
    <w:p w14:paraId="7A45C41E" w14:textId="04439E84" w:rsidR="008A2788" w:rsidRPr="00F449EE" w:rsidRDefault="008A2788" w:rsidP="00F449EE">
      <w:pPr>
        <w:spacing w:after="0"/>
        <w:jc w:val="both"/>
        <w:rPr>
          <w:lang w:val="fr-ML"/>
        </w:rPr>
      </w:pPr>
      <w:r w:rsidRPr="00347272">
        <w:rPr>
          <w:rFonts w:eastAsia="Times New Roman" w:cstheme="minorHAnsi"/>
          <w:szCs w:val="20"/>
          <w:lang w:val="fr-ML"/>
        </w:rPr>
        <w:t xml:space="preserve">En 2021, 6 430 villages agricoles sont jugés déficitaires, soit 50% du total des villages agricoles suivis (comparé à 30% en 2020). Un total de 8,7 millions de personnes </w:t>
      </w:r>
      <w:bookmarkStart w:id="0" w:name="_GoBack"/>
      <w:bookmarkEnd w:id="0"/>
      <w:r w:rsidR="00ED6E5A" w:rsidRPr="00347272">
        <w:rPr>
          <w:rFonts w:eastAsia="Times New Roman" w:cstheme="minorHAnsi"/>
          <w:szCs w:val="20"/>
          <w:lang w:val="fr-ML"/>
        </w:rPr>
        <w:t>vit</w:t>
      </w:r>
      <w:r w:rsidRPr="00347272">
        <w:rPr>
          <w:rFonts w:eastAsia="Times New Roman" w:cstheme="minorHAnsi"/>
          <w:szCs w:val="20"/>
          <w:lang w:val="fr-ML"/>
        </w:rPr>
        <w:t xml:space="preserve"> dans ces villages agricoles déficitaires, soit 35% de la population totale analysée (comparé à 21% de la population en 2020).</w:t>
      </w:r>
    </w:p>
    <w:p w14:paraId="5059EF92" w14:textId="77777777" w:rsidR="00347272" w:rsidRPr="008A2788" w:rsidRDefault="00347272" w:rsidP="008A2788">
      <w:pPr>
        <w:spacing w:after="0" w:line="240" w:lineRule="auto"/>
        <w:rPr>
          <w:rFonts w:eastAsia="Times New Roman" w:cstheme="minorHAnsi"/>
          <w:sz w:val="20"/>
          <w:szCs w:val="20"/>
          <w:lang w:val="fr-ML"/>
        </w:rPr>
      </w:pPr>
    </w:p>
    <w:tbl>
      <w:tblPr>
        <w:tblW w:w="10368" w:type="dxa"/>
        <w:tblCellMar>
          <w:left w:w="0" w:type="dxa"/>
          <w:right w:w="0" w:type="dxa"/>
        </w:tblCellMar>
        <w:tblLook w:val="04A0" w:firstRow="1" w:lastRow="0" w:firstColumn="1" w:lastColumn="0" w:noHBand="0" w:noVBand="1"/>
      </w:tblPr>
      <w:tblGrid>
        <w:gridCol w:w="1728"/>
        <w:gridCol w:w="1728"/>
        <w:gridCol w:w="1728"/>
        <w:gridCol w:w="1728"/>
        <w:gridCol w:w="1728"/>
        <w:gridCol w:w="1728"/>
      </w:tblGrid>
      <w:tr w:rsidR="008A2788" w:rsidRPr="00347272" w14:paraId="77AC337D" w14:textId="77777777" w:rsidTr="00347272">
        <w:trPr>
          <w:trHeight w:val="550"/>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819C79"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Région </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5CBC2D" w14:textId="4836E212"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Pop au 30 avril 2022 </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ABEB9B" w14:textId="77777777" w:rsidR="008A2788" w:rsidRPr="00347272" w:rsidRDefault="008A2788" w:rsidP="00CF4A43">
            <w:pPr>
              <w:spacing w:after="0" w:line="240" w:lineRule="auto"/>
              <w:rPr>
                <w:rFonts w:eastAsia="Times New Roman" w:cstheme="minorHAnsi"/>
                <w:sz w:val="20"/>
                <w:szCs w:val="20"/>
                <w:lang w:val="fr-ML"/>
              </w:rPr>
            </w:pPr>
            <w:proofErr w:type="spellStart"/>
            <w:r w:rsidRPr="00347272">
              <w:rPr>
                <w:rFonts w:eastAsia="Times New Roman" w:cstheme="minorHAnsi"/>
                <w:b/>
                <w:bCs/>
                <w:sz w:val="20"/>
                <w:szCs w:val="20"/>
                <w:lang w:val="fr-ML"/>
              </w:rPr>
              <w:t>Nb.total</w:t>
            </w:r>
            <w:proofErr w:type="spellEnd"/>
            <w:r w:rsidRPr="00347272">
              <w:rPr>
                <w:rFonts w:eastAsia="Times New Roman" w:cstheme="minorHAnsi"/>
                <w:b/>
                <w:bCs/>
                <w:sz w:val="20"/>
                <w:szCs w:val="20"/>
                <w:lang w:val="fr-ML"/>
              </w:rPr>
              <w:t xml:space="preserve"> villages agricoles suivis </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7A6A4E"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Nb. villages déficitaires </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4D19BC"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Pop des villages déficitaires </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E1349D"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 des villages déficitaires </w:t>
            </w:r>
          </w:p>
        </w:tc>
      </w:tr>
      <w:tr w:rsidR="008A2788" w:rsidRPr="00347272" w14:paraId="2EEAC36F"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40350D"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AGADEZ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E400A44"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665 377 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9D6A4AE"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289 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A784FC0"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205 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498367E"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232 039 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E6F4D0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71% </w:t>
            </w:r>
          </w:p>
        </w:tc>
      </w:tr>
      <w:tr w:rsidR="008A2788" w:rsidRPr="00347272" w14:paraId="36991A55"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8548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DIFFA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AAF0199" w14:textId="19708B46"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810 848 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6DD4CE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695 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2DB4F26"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485 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2781E81"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497193 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5536E918"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70% </w:t>
            </w:r>
          </w:p>
        </w:tc>
      </w:tr>
      <w:tr w:rsidR="008A2788" w:rsidRPr="00347272" w14:paraId="346AAAB6"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940CD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DOSSO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CBD6568" w14:textId="23C40ABF"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2 952 035 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58E7FD54"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1 871 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56EE6258"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968 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23FBA3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1 180 052 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1D78734"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52% </w:t>
            </w:r>
          </w:p>
        </w:tc>
      </w:tr>
      <w:tr w:rsidR="008A2788" w:rsidRPr="00347272" w14:paraId="28226D4A"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3D344"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MARADI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86CDF0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5 117 136 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3B4C4D0"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2 673 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8EF656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691 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3114A54"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699 333 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95D376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26% </w:t>
            </w:r>
          </w:p>
        </w:tc>
      </w:tr>
      <w:tr w:rsidR="008A2788" w:rsidRPr="00347272" w14:paraId="03383071"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C77CAF"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NIAMEY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F07266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1 400 682 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0584B28"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647F0EF"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0F2CB8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117 875 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D76D78D"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100,0 </w:t>
            </w:r>
          </w:p>
        </w:tc>
      </w:tr>
      <w:tr w:rsidR="008A2788" w:rsidRPr="00347272" w14:paraId="27DDB817"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A7080A"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TAHOUA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BEC28D3"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4 748 339 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DE6F22F"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1 832 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FE5AC26"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1 078 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909F4AF"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2 276 734 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DFCD755"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59% </w:t>
            </w:r>
          </w:p>
        </w:tc>
      </w:tr>
      <w:tr w:rsidR="008A2788" w:rsidRPr="00347272" w14:paraId="566DA2B3"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EC0685"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TILLABERI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CC3170D"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3 952 615 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3581595"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2 140 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6540B005"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1768 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DADA72C"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2 569 547 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9F350C1"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83% </w:t>
            </w:r>
          </w:p>
        </w:tc>
      </w:tr>
      <w:tr w:rsidR="008A2788" w:rsidRPr="00347272" w14:paraId="5616FF18" w14:textId="77777777" w:rsidTr="00347272">
        <w:trPr>
          <w:trHeight w:val="101"/>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079BC5"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ZINDER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09EFC03E"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5 260 951 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DAEBEAC"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3 520 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3D5B682"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1193 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78C773E3"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1 189 585 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6B5C36E"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34% </w:t>
            </w:r>
          </w:p>
        </w:tc>
      </w:tr>
      <w:tr w:rsidR="008A2788" w:rsidRPr="00347272" w14:paraId="70D01220" w14:textId="77777777" w:rsidTr="00347272">
        <w:trPr>
          <w:trHeight w:val="240"/>
        </w:trPr>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451508"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b/>
                <w:bCs/>
                <w:sz w:val="20"/>
                <w:szCs w:val="20"/>
                <w:lang w:val="fr-ML"/>
              </w:rPr>
              <w:t>Total Niger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3444C187"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24 907 984 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CC127EB"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13 062 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29252DFA"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6 430 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12618DDD"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8 762 358 </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14:paraId="438C1A0C" w14:textId="77777777" w:rsidR="008A2788" w:rsidRPr="00347272" w:rsidRDefault="008A2788" w:rsidP="00CF4A43">
            <w:pPr>
              <w:spacing w:after="0" w:line="240" w:lineRule="auto"/>
              <w:rPr>
                <w:rFonts w:eastAsia="Times New Roman" w:cstheme="minorHAnsi"/>
                <w:sz w:val="20"/>
                <w:szCs w:val="20"/>
                <w:lang w:val="fr-ML"/>
              </w:rPr>
            </w:pPr>
            <w:r w:rsidRPr="00347272">
              <w:rPr>
                <w:rFonts w:eastAsia="Times New Roman" w:cstheme="minorHAnsi"/>
                <w:sz w:val="20"/>
                <w:szCs w:val="20"/>
                <w:lang w:val="fr-ML"/>
              </w:rPr>
              <w:t>49% </w:t>
            </w:r>
          </w:p>
        </w:tc>
      </w:tr>
    </w:tbl>
    <w:p w14:paraId="343713AF" w14:textId="04434306" w:rsidR="00347272" w:rsidRDefault="008A2788" w:rsidP="00347272">
      <w:pPr>
        <w:spacing w:after="0" w:line="240" w:lineRule="auto"/>
        <w:rPr>
          <w:rFonts w:eastAsia="Times New Roman" w:cstheme="minorHAnsi"/>
          <w:sz w:val="20"/>
          <w:szCs w:val="20"/>
          <w:lang w:val="fr-ML"/>
        </w:rPr>
      </w:pPr>
      <w:r w:rsidRPr="008A2788">
        <w:rPr>
          <w:rFonts w:eastAsia="Times New Roman" w:cstheme="minorHAnsi"/>
          <w:i/>
          <w:iCs/>
          <w:sz w:val="20"/>
          <w:szCs w:val="20"/>
          <w:lang w:val="fr-ML"/>
        </w:rPr>
        <w:t>Source : Ministère de l’agriculture, PREGEC Novembre 2021.</w:t>
      </w:r>
    </w:p>
    <w:p w14:paraId="236EE6EB" w14:textId="77777777" w:rsidR="00347272" w:rsidRPr="00347272" w:rsidRDefault="00347272" w:rsidP="00347272">
      <w:pPr>
        <w:spacing w:after="0" w:line="240" w:lineRule="auto"/>
        <w:rPr>
          <w:rFonts w:eastAsia="Times New Roman" w:cstheme="minorHAnsi"/>
          <w:sz w:val="20"/>
          <w:szCs w:val="20"/>
          <w:lang w:val="fr-ML"/>
        </w:rPr>
      </w:pPr>
    </w:p>
    <w:p w14:paraId="12AA304A" w14:textId="0CC61069" w:rsidR="008A2788" w:rsidRPr="000547A1" w:rsidRDefault="008A2788" w:rsidP="000547A1">
      <w:pPr>
        <w:jc w:val="both"/>
        <w:rPr>
          <w:lang w:val="fr-ML"/>
        </w:rPr>
      </w:pPr>
      <w:r w:rsidRPr="000547A1">
        <w:rPr>
          <w:lang w:val="fr-ML"/>
        </w:rPr>
        <w:t>Les besoins en stocks alimentaires pour les populations sont de 253 064 tonnes de céréales pour un montant de 88 572 495 000 FCFA (source plan de réponse 2022 du Gouvernement novembre 2021). Il s’agit des achats des stocks pour la distribution gratuite, la vente à prix modéré et l’appui aux cantines scolaires</w:t>
      </w:r>
      <w:r w:rsidR="000547A1" w:rsidRPr="000547A1">
        <w:rPr>
          <w:lang w:val="fr-ML"/>
        </w:rPr>
        <w:t xml:space="preserve"> (</w:t>
      </w:r>
      <w:r w:rsidR="002A2BB2">
        <w:rPr>
          <w:lang w:val="fr-ML"/>
        </w:rPr>
        <w:t>d</w:t>
      </w:r>
      <w:r w:rsidRPr="000547A1">
        <w:rPr>
          <w:lang w:val="fr-ML"/>
        </w:rPr>
        <w:t xml:space="preserve">istribution gratuite ciblée : 2 554 833 personnes en </w:t>
      </w:r>
      <w:r w:rsidR="002A2BB2">
        <w:rPr>
          <w:lang w:val="fr-ML"/>
        </w:rPr>
        <w:t>i</w:t>
      </w:r>
      <w:r w:rsidRPr="000547A1">
        <w:rPr>
          <w:lang w:val="fr-ML"/>
        </w:rPr>
        <w:t>nsécurité alimentaire sévère y compris les 264 257 personnes déplacées internes suite aux chocs sécuritaires et les 250 000 personnes sinistrées des inondations</w:t>
      </w:r>
      <w:r w:rsidR="000547A1" w:rsidRPr="000547A1">
        <w:rPr>
          <w:lang w:val="fr-ML"/>
        </w:rPr>
        <w:t xml:space="preserve">, </w:t>
      </w:r>
      <w:r w:rsidRPr="000547A1">
        <w:rPr>
          <w:lang w:val="fr-ML"/>
        </w:rPr>
        <w:t>Vente de Céréale à Prix Modéré (VCPM) : 3 000 000 personnes (428 571 ménages) en insécurité alimentaire modérée des zones vulnérables</w:t>
      </w:r>
      <w:r w:rsidR="000547A1" w:rsidRPr="000547A1">
        <w:rPr>
          <w:lang w:val="fr-ML"/>
        </w:rPr>
        <w:t>)</w:t>
      </w:r>
      <w:r w:rsidRPr="000547A1">
        <w:rPr>
          <w:lang w:val="fr-ML"/>
        </w:rPr>
        <w:t xml:space="preserve">. </w:t>
      </w:r>
    </w:p>
    <w:p w14:paraId="1F32B440" w14:textId="77777777" w:rsidR="008A2788" w:rsidRPr="008A2788" w:rsidRDefault="008A2788" w:rsidP="006C2DC4">
      <w:pPr>
        <w:spacing w:after="0" w:line="240" w:lineRule="auto"/>
        <w:jc w:val="both"/>
        <w:rPr>
          <w:lang w:val="fr-ML" w:eastAsia="en-GB"/>
        </w:rPr>
      </w:pPr>
    </w:p>
    <w:p w14:paraId="4F829290" w14:textId="77777777" w:rsidR="003F026F" w:rsidRDefault="001B5748" w:rsidP="00E5242E">
      <w:pPr>
        <w:spacing w:after="120" w:line="280" w:lineRule="exact"/>
        <w:jc w:val="both"/>
        <w:rPr>
          <w:szCs w:val="20"/>
          <w:lang w:eastAsia="en-GB"/>
        </w:rPr>
      </w:pPr>
      <w:r>
        <w:rPr>
          <w:noProof/>
        </w:rPr>
        <w:lastRenderedPageBreak/>
        <w:drawing>
          <wp:anchor distT="0" distB="0" distL="114300" distR="114300" simplePos="0" relativeHeight="251670016" behindDoc="1" locked="0" layoutInCell="1" allowOverlap="1" wp14:anchorId="35C06A1C" wp14:editId="31B381A6">
            <wp:simplePos x="0" y="0"/>
            <wp:positionH relativeFrom="column">
              <wp:posOffset>2898140</wp:posOffset>
            </wp:positionH>
            <wp:positionV relativeFrom="paragraph">
              <wp:posOffset>99060</wp:posOffset>
            </wp:positionV>
            <wp:extent cx="2392680" cy="2448560"/>
            <wp:effectExtent l="0" t="0" r="7620" b="8890"/>
            <wp:wrapTight wrapText="bothSides">
              <wp:wrapPolygon edited="0">
                <wp:start x="0" y="0"/>
                <wp:lineTo x="0" y="21510"/>
                <wp:lineTo x="21497" y="21510"/>
                <wp:lineTo x="21497"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2680" cy="244856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1" locked="0" layoutInCell="1" allowOverlap="1" wp14:anchorId="6EA35ABD" wp14:editId="0BDCEEC3">
            <wp:simplePos x="0" y="0"/>
            <wp:positionH relativeFrom="column">
              <wp:posOffset>290195</wp:posOffset>
            </wp:positionH>
            <wp:positionV relativeFrom="paragraph">
              <wp:posOffset>74930</wp:posOffset>
            </wp:positionV>
            <wp:extent cx="2289810" cy="2543175"/>
            <wp:effectExtent l="0" t="0" r="0" b="9525"/>
            <wp:wrapTight wrapText="bothSides">
              <wp:wrapPolygon edited="0">
                <wp:start x="0" y="0"/>
                <wp:lineTo x="0" y="21519"/>
                <wp:lineTo x="21384" y="21519"/>
                <wp:lineTo x="21384" y="0"/>
                <wp:lineTo x="0" y="0"/>
              </wp:wrapPolygon>
            </wp:wrapTight>
            <wp:docPr id="3" name="Image 3" title="Insertion de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9810" cy="2543175"/>
                    </a:xfrm>
                    <a:prstGeom prst="rect">
                      <a:avLst/>
                    </a:prstGeom>
                  </pic:spPr>
                </pic:pic>
              </a:graphicData>
            </a:graphic>
            <wp14:sizeRelH relativeFrom="page">
              <wp14:pctWidth>0</wp14:pctWidth>
            </wp14:sizeRelH>
            <wp14:sizeRelV relativeFrom="page">
              <wp14:pctHeight>0</wp14:pctHeight>
            </wp14:sizeRelV>
          </wp:anchor>
        </w:drawing>
      </w:r>
    </w:p>
    <w:p w14:paraId="5F3D850A" w14:textId="77777777" w:rsidR="003F026F" w:rsidRDefault="003F026F" w:rsidP="00E5242E">
      <w:pPr>
        <w:spacing w:after="120" w:line="280" w:lineRule="exact"/>
        <w:jc w:val="both"/>
        <w:rPr>
          <w:szCs w:val="20"/>
          <w:lang w:eastAsia="en-GB"/>
        </w:rPr>
      </w:pPr>
    </w:p>
    <w:p w14:paraId="5625AB98" w14:textId="77777777" w:rsidR="003F026F" w:rsidRDefault="003F026F" w:rsidP="00E5242E">
      <w:pPr>
        <w:spacing w:after="120" w:line="280" w:lineRule="exact"/>
        <w:jc w:val="both"/>
        <w:rPr>
          <w:szCs w:val="20"/>
          <w:lang w:eastAsia="en-GB"/>
        </w:rPr>
      </w:pPr>
    </w:p>
    <w:p w14:paraId="7E34D3AF" w14:textId="77777777" w:rsidR="003F026F" w:rsidRDefault="003F026F" w:rsidP="00E5242E">
      <w:pPr>
        <w:spacing w:after="120" w:line="280" w:lineRule="exact"/>
        <w:jc w:val="both"/>
        <w:rPr>
          <w:szCs w:val="20"/>
          <w:lang w:eastAsia="en-GB"/>
        </w:rPr>
      </w:pPr>
    </w:p>
    <w:p w14:paraId="4BA9EF3D" w14:textId="77777777" w:rsidR="003F026F" w:rsidRDefault="003F026F" w:rsidP="00E5242E">
      <w:pPr>
        <w:spacing w:after="120" w:line="280" w:lineRule="exact"/>
        <w:jc w:val="both"/>
        <w:rPr>
          <w:szCs w:val="20"/>
          <w:lang w:eastAsia="en-GB"/>
        </w:rPr>
      </w:pPr>
    </w:p>
    <w:p w14:paraId="514BCB01" w14:textId="77777777" w:rsidR="003F026F" w:rsidRDefault="003F026F" w:rsidP="00E5242E">
      <w:pPr>
        <w:spacing w:after="120" w:line="280" w:lineRule="exact"/>
        <w:jc w:val="both"/>
        <w:rPr>
          <w:szCs w:val="20"/>
          <w:lang w:eastAsia="en-GB"/>
        </w:rPr>
      </w:pPr>
    </w:p>
    <w:p w14:paraId="63B7C904" w14:textId="77777777" w:rsidR="003F026F" w:rsidRDefault="003F026F" w:rsidP="00E5242E">
      <w:pPr>
        <w:spacing w:after="120" w:line="280" w:lineRule="exact"/>
        <w:jc w:val="both"/>
        <w:rPr>
          <w:szCs w:val="20"/>
          <w:lang w:eastAsia="en-GB"/>
        </w:rPr>
      </w:pPr>
    </w:p>
    <w:p w14:paraId="1CA78EA0" w14:textId="77777777" w:rsidR="003F026F" w:rsidRDefault="003F026F" w:rsidP="00E5242E">
      <w:pPr>
        <w:spacing w:after="120" w:line="280" w:lineRule="exact"/>
        <w:jc w:val="both"/>
        <w:rPr>
          <w:szCs w:val="20"/>
          <w:lang w:eastAsia="en-GB"/>
        </w:rPr>
      </w:pPr>
    </w:p>
    <w:p w14:paraId="63174061" w14:textId="77777777" w:rsidR="00E5242E" w:rsidRDefault="00E5242E" w:rsidP="00E5242E">
      <w:pPr>
        <w:tabs>
          <w:tab w:val="left" w:pos="360"/>
        </w:tabs>
        <w:spacing w:after="120" w:line="280" w:lineRule="exact"/>
        <w:jc w:val="both"/>
        <w:rPr>
          <w:rFonts w:cstheme="minorHAnsi"/>
          <w:b/>
        </w:rPr>
      </w:pPr>
    </w:p>
    <w:p w14:paraId="0E0DA22E" w14:textId="77777777" w:rsidR="00D74067" w:rsidRDefault="00D74067" w:rsidP="00E5242E">
      <w:pPr>
        <w:spacing w:after="120" w:line="280" w:lineRule="exact"/>
        <w:jc w:val="both"/>
        <w:rPr>
          <w:szCs w:val="20"/>
          <w:lang w:eastAsia="en-GB"/>
        </w:rPr>
      </w:pPr>
    </w:p>
    <w:p w14:paraId="3C13897D" w14:textId="77777777" w:rsidR="001B5748" w:rsidRDefault="001B5748" w:rsidP="00621B0F">
      <w:pPr>
        <w:spacing w:after="0"/>
        <w:jc w:val="both"/>
        <w:rPr>
          <w:b/>
          <w:bCs/>
          <w:u w:val="single"/>
        </w:rPr>
      </w:pPr>
    </w:p>
    <w:p w14:paraId="63A9B60A" w14:textId="77777777" w:rsidR="00347272" w:rsidRDefault="00347272" w:rsidP="00621B0F">
      <w:pPr>
        <w:spacing w:after="0"/>
        <w:jc w:val="both"/>
        <w:rPr>
          <w:b/>
          <w:bCs/>
          <w:u w:val="single"/>
        </w:rPr>
      </w:pPr>
    </w:p>
    <w:p w14:paraId="548E64E3" w14:textId="615D0C04" w:rsidR="00621B0F" w:rsidRPr="00F449EE" w:rsidRDefault="00621B0F" w:rsidP="00F449EE">
      <w:pPr>
        <w:pBdr>
          <w:bottom w:val="single" w:sz="4" w:space="1" w:color="auto"/>
        </w:pBdr>
        <w:spacing w:after="0"/>
        <w:jc w:val="both"/>
        <w:rPr>
          <w:b/>
          <w:bCs/>
        </w:rPr>
      </w:pPr>
      <w:r w:rsidRPr="00F449EE">
        <w:rPr>
          <w:b/>
          <w:bCs/>
        </w:rPr>
        <w:t xml:space="preserve">Contexte du programme SAHA : </w:t>
      </w:r>
    </w:p>
    <w:p w14:paraId="75C1488E" w14:textId="77777777" w:rsidR="00621B0F" w:rsidRPr="00205A64" w:rsidRDefault="00621B0F" w:rsidP="00621B0F">
      <w:pPr>
        <w:spacing w:after="0"/>
        <w:jc w:val="both"/>
        <w:rPr>
          <w:b/>
          <w:bCs/>
          <w:u w:val="single"/>
        </w:rPr>
      </w:pPr>
    </w:p>
    <w:p w14:paraId="1309659A" w14:textId="22BE51AE" w:rsidR="00621B0F" w:rsidRDefault="00F449EE" w:rsidP="00621B0F">
      <w:pPr>
        <w:spacing w:after="0"/>
        <w:jc w:val="both"/>
        <w:rPr>
          <w:b/>
        </w:rPr>
      </w:pPr>
      <w:r>
        <w:rPr>
          <w:b/>
        </w:rPr>
        <w:t>Réponses humanitaires mises en œuvre par HI</w:t>
      </w:r>
    </w:p>
    <w:p w14:paraId="5BFF9CEA" w14:textId="77777777" w:rsidR="00347272" w:rsidRDefault="00621B0F">
      <w:pPr>
        <w:pStyle w:val="Paragraphedeliste"/>
        <w:numPr>
          <w:ilvl w:val="0"/>
          <w:numId w:val="7"/>
        </w:numPr>
        <w:spacing w:after="0" w:line="259" w:lineRule="auto"/>
        <w:jc w:val="both"/>
      </w:pPr>
      <w:r w:rsidRPr="00347272">
        <w:rPr>
          <w:b/>
        </w:rPr>
        <w:t>Programmes de résilience</w:t>
      </w:r>
      <w:r>
        <w:t xml:space="preserve"> </w:t>
      </w:r>
      <w:r w:rsidR="00347272">
        <w:t xml:space="preserve">: approches multisectorielles, modèle de graduation, ligne de contingence pour répondre aux impacts des crises et donc besoins d’urgence (voir point ci-dessous). </w:t>
      </w:r>
    </w:p>
    <w:p w14:paraId="6A8B7BB7" w14:textId="1ECBAE4D" w:rsidR="00621B0F" w:rsidRDefault="00347272" w:rsidP="00347272">
      <w:pPr>
        <w:pStyle w:val="Paragraphedeliste"/>
        <w:spacing w:after="0" w:line="259" w:lineRule="auto"/>
        <w:ind w:left="360"/>
        <w:jc w:val="both"/>
      </w:pPr>
      <w:r>
        <w:t>Le</w:t>
      </w:r>
      <w:r w:rsidR="00F06348">
        <w:t xml:space="preserve"> projet RESA - </w:t>
      </w:r>
      <w:r w:rsidR="00F06348" w:rsidRPr="00F06348">
        <w:rPr>
          <w:i/>
        </w:rPr>
        <w:t xml:space="preserve">Renforcement de la résilience des communautés et des ménages vulnérables  l'insécurité alimentaire et nutritionnelle de la province du </w:t>
      </w:r>
      <w:proofErr w:type="spellStart"/>
      <w:r w:rsidR="00F06348" w:rsidRPr="00F06348">
        <w:rPr>
          <w:i/>
        </w:rPr>
        <w:t>Yagha</w:t>
      </w:r>
      <w:proofErr w:type="spellEnd"/>
      <w:r w:rsidR="00F06348" w:rsidRPr="00F06348">
        <w:rPr>
          <w:i/>
        </w:rPr>
        <w:t xml:space="preserve"> dans la région du Sahel au Burkina Faso</w:t>
      </w:r>
      <w:r w:rsidR="00621B0F">
        <w:t xml:space="preserve"> </w:t>
      </w:r>
      <w:r w:rsidR="00F06348">
        <w:t>mis en œuvre</w:t>
      </w:r>
      <w:r w:rsidR="00621B0F">
        <w:t xml:space="preserve"> </w:t>
      </w:r>
      <w:r w:rsidR="008547D5">
        <w:t xml:space="preserve">entre 2017 et </w:t>
      </w:r>
      <w:r w:rsidR="00241976">
        <w:t>2020</w:t>
      </w:r>
      <w:r w:rsidR="008547D5">
        <w:t> ;</w:t>
      </w:r>
      <w:r>
        <w:t xml:space="preserve"> et du</w:t>
      </w:r>
      <w:r w:rsidR="00621B0F">
        <w:t xml:space="preserve"> </w:t>
      </w:r>
      <w:r w:rsidR="00F06348" w:rsidRPr="00F06348">
        <w:rPr>
          <w:i/>
        </w:rPr>
        <w:t xml:space="preserve">Projet </w:t>
      </w:r>
      <w:r w:rsidR="00F06348">
        <w:rPr>
          <w:i/>
        </w:rPr>
        <w:t>RECOSA - R</w:t>
      </w:r>
      <w:r w:rsidR="00F06348" w:rsidRPr="00F06348">
        <w:rPr>
          <w:i/>
        </w:rPr>
        <w:t xml:space="preserve">enforcement de la résilience et de la cohésion sociale des populations vulnérables des régions transfrontalières du Burkina Faso (région du Sahel) et du Niger (région de </w:t>
      </w:r>
      <w:r w:rsidR="00A94BF5" w:rsidRPr="00F06348">
        <w:rPr>
          <w:i/>
        </w:rPr>
        <w:t>Tillabéry</w:t>
      </w:r>
      <w:r w:rsidR="00F06348" w:rsidRPr="00F06348">
        <w:rPr>
          <w:i/>
        </w:rPr>
        <w:t>)</w:t>
      </w:r>
      <w:r w:rsidR="00F06348">
        <w:t xml:space="preserve"> entre 2020 et 2023 ; </w:t>
      </w:r>
      <w:r>
        <w:t>mis en œuvre avec le soutien de</w:t>
      </w:r>
      <w:r w:rsidR="00F06348">
        <w:t xml:space="preserve"> l’UE / Fonds Fiduciaire d’Urgence pour l’Afrique (FFU)</w:t>
      </w:r>
      <w:r>
        <w:t>.</w:t>
      </w:r>
    </w:p>
    <w:p w14:paraId="5B9149AB" w14:textId="77777777" w:rsidR="00347272" w:rsidRDefault="00621B0F">
      <w:pPr>
        <w:pStyle w:val="Paragraphedeliste"/>
        <w:numPr>
          <w:ilvl w:val="0"/>
          <w:numId w:val="7"/>
        </w:numPr>
        <w:spacing w:after="0" w:line="259" w:lineRule="auto"/>
        <w:jc w:val="both"/>
      </w:pPr>
      <w:r>
        <w:t xml:space="preserve">Au Burkina Faso et au Niger, </w:t>
      </w:r>
      <w:r w:rsidRPr="00347272">
        <w:rPr>
          <w:b/>
        </w:rPr>
        <w:t>lignes de contingence</w:t>
      </w:r>
      <w:r>
        <w:t xml:space="preserve"> (financement FFU/RECOSA et fonds supplémentaire de OCHA pour le Burkina) qui ont pu être mobilisées pour réaliser des </w:t>
      </w:r>
      <w:r w:rsidRPr="00347272">
        <w:rPr>
          <w:b/>
        </w:rPr>
        <w:t>transferts monétaires inconditionnels sur 3 mois pendant périodes de soudure et/ou besoins non couverts suite à des déplacements de populations</w:t>
      </w:r>
      <w:r>
        <w:t xml:space="preserve">. </w:t>
      </w:r>
    </w:p>
    <w:p w14:paraId="6849245D" w14:textId="77777777" w:rsidR="00347272" w:rsidRDefault="00621B0F">
      <w:pPr>
        <w:pStyle w:val="Paragraphedeliste"/>
        <w:numPr>
          <w:ilvl w:val="0"/>
          <w:numId w:val="7"/>
        </w:numPr>
        <w:spacing w:after="0" w:line="259" w:lineRule="auto"/>
        <w:jc w:val="both"/>
      </w:pPr>
      <w:r w:rsidRPr="00347272">
        <w:rPr>
          <w:b/>
        </w:rPr>
        <w:t>Distribution d’Abris/AME</w:t>
      </w:r>
      <w:r>
        <w:t xml:space="preserve"> au Burkina (Région Sahel) et Niger (Région de Maradi) ; </w:t>
      </w:r>
    </w:p>
    <w:p w14:paraId="25DA5E54" w14:textId="77777777" w:rsidR="00347272" w:rsidRPr="00347272" w:rsidRDefault="00621B0F">
      <w:pPr>
        <w:pStyle w:val="Paragraphedeliste"/>
        <w:numPr>
          <w:ilvl w:val="0"/>
          <w:numId w:val="7"/>
        </w:numPr>
        <w:spacing w:after="0" w:line="259" w:lineRule="auto"/>
        <w:jc w:val="both"/>
      </w:pPr>
      <w:r w:rsidRPr="00347272">
        <w:rPr>
          <w:b/>
        </w:rPr>
        <w:t>Santé Mentale et Soutien Psychosocial</w:t>
      </w:r>
      <w:r>
        <w:t xml:space="preserve"> : </w:t>
      </w:r>
      <w:r w:rsidRPr="00347272">
        <w:rPr>
          <w:rFonts w:cstheme="minorHAnsi"/>
        </w:rPr>
        <w:t xml:space="preserve">mise en place de centres d’écoute, équipes mobiles </w:t>
      </w:r>
      <w:r w:rsidR="000818EA" w:rsidRPr="00347272">
        <w:rPr>
          <w:rFonts w:cstheme="minorHAnsi"/>
        </w:rPr>
        <w:t xml:space="preserve">(dont RRM) </w:t>
      </w:r>
      <w:r w:rsidRPr="00347272">
        <w:rPr>
          <w:rFonts w:cstheme="minorHAnsi"/>
        </w:rPr>
        <w:t>pour une prise en charge via des approches premiers secours psychologiques, fourniture directe de support psychosocial et /ou référencement et développement d’approches à base communautaire, appui technique au RRM au Burkina Faso</w:t>
      </w:r>
    </w:p>
    <w:p w14:paraId="3448E974" w14:textId="23FFFF37" w:rsidR="00347272" w:rsidRPr="00347272" w:rsidRDefault="00621B0F">
      <w:pPr>
        <w:pStyle w:val="Paragraphedeliste"/>
        <w:numPr>
          <w:ilvl w:val="0"/>
          <w:numId w:val="7"/>
        </w:numPr>
        <w:spacing w:after="0" w:line="259" w:lineRule="auto"/>
        <w:jc w:val="both"/>
      </w:pPr>
      <w:r w:rsidRPr="00347272">
        <w:rPr>
          <w:b/>
        </w:rPr>
        <w:t>Action Humanitaire Inclusive</w:t>
      </w:r>
      <w:r>
        <w:t xml:space="preserve"> : </w:t>
      </w:r>
      <w:r w:rsidRPr="00347272">
        <w:rPr>
          <w:rFonts w:cstheme="minorHAnsi"/>
        </w:rPr>
        <w:t xml:space="preserve">Accompagnement des acteurs humanitaires dans la prise en compte les personnes vulnérables et personnes handicapées, identification et référencement/prise en charge directe des personnes handicapées </w:t>
      </w:r>
    </w:p>
    <w:p w14:paraId="7F958D7C" w14:textId="77777777" w:rsidR="00347272" w:rsidRPr="00347272" w:rsidRDefault="00621B0F">
      <w:pPr>
        <w:pStyle w:val="Paragraphedeliste"/>
        <w:numPr>
          <w:ilvl w:val="0"/>
          <w:numId w:val="7"/>
        </w:numPr>
        <w:spacing w:after="0" w:line="259" w:lineRule="auto"/>
        <w:jc w:val="both"/>
      </w:pPr>
      <w:r w:rsidRPr="00347272">
        <w:rPr>
          <w:rFonts w:cstheme="minorHAnsi"/>
          <w:b/>
        </w:rPr>
        <w:t>Stimulation et de kinésithérapie d’éveil auprès des enfants malnutris</w:t>
      </w:r>
      <w:r w:rsidRPr="00347272">
        <w:rPr>
          <w:rFonts w:cstheme="minorHAnsi"/>
        </w:rPr>
        <w:t>, en complémentarité des réponses sécurité alimentaire/nutrition</w:t>
      </w:r>
    </w:p>
    <w:p w14:paraId="58B6DA3E" w14:textId="22144B32" w:rsidR="005C2837" w:rsidRPr="00347272" w:rsidRDefault="005C2837">
      <w:pPr>
        <w:pStyle w:val="Paragraphedeliste"/>
        <w:numPr>
          <w:ilvl w:val="0"/>
          <w:numId w:val="7"/>
        </w:numPr>
        <w:spacing w:after="0" w:line="259" w:lineRule="auto"/>
        <w:jc w:val="both"/>
      </w:pPr>
      <w:r w:rsidRPr="00347272">
        <w:rPr>
          <w:rFonts w:cstheme="minorHAnsi"/>
          <w:b/>
        </w:rPr>
        <w:t>Logistique humanitaire</w:t>
      </w:r>
      <w:r w:rsidRPr="00347272">
        <w:rPr>
          <w:rFonts w:cstheme="minorHAnsi"/>
        </w:rPr>
        <w:t> : des évaluations logistiques, ainsi qu’une plateforme de stockage et transport sont en cours/en fonctionnement au Burkina</w:t>
      </w:r>
      <w:r w:rsidR="00F06348" w:rsidRPr="00347272">
        <w:rPr>
          <w:rFonts w:cstheme="minorHAnsi"/>
        </w:rPr>
        <w:t xml:space="preserve"> Faso</w:t>
      </w:r>
      <w:r w:rsidRPr="00347272">
        <w:rPr>
          <w:rFonts w:cstheme="minorHAnsi"/>
        </w:rPr>
        <w:t>. Il s’agit de projet « H2H »</w:t>
      </w:r>
      <w:r w:rsidR="006F35F2" w:rsidRPr="00347272">
        <w:rPr>
          <w:rFonts w:cstheme="minorHAnsi"/>
        </w:rPr>
        <w:t xml:space="preserve">, en collaboration étroite avec OCHA, les Clusters concernés et autres entités de coordination humanitaire.  </w:t>
      </w:r>
    </w:p>
    <w:p w14:paraId="0A3C1AE3" w14:textId="77777777" w:rsidR="00621B0F" w:rsidRDefault="00621B0F" w:rsidP="00621B0F">
      <w:pPr>
        <w:spacing w:after="0"/>
        <w:jc w:val="both"/>
        <w:rPr>
          <w:i/>
        </w:rPr>
      </w:pPr>
    </w:p>
    <w:p w14:paraId="3EE01F73" w14:textId="04A4A185" w:rsidR="00621B0F" w:rsidRPr="00347272" w:rsidRDefault="00621B0F" w:rsidP="00621B0F">
      <w:pPr>
        <w:spacing w:after="0"/>
        <w:jc w:val="both"/>
        <w:rPr>
          <w:b/>
        </w:rPr>
      </w:pPr>
      <w:r w:rsidRPr="00347272">
        <w:rPr>
          <w:b/>
        </w:rPr>
        <w:t>Equipe</w:t>
      </w:r>
      <w:r w:rsidR="00F449EE">
        <w:rPr>
          <w:b/>
        </w:rPr>
        <w:t>s techniques et opérationnelles</w:t>
      </w:r>
      <w:r w:rsidRPr="00347272">
        <w:rPr>
          <w:b/>
        </w:rPr>
        <w:t xml:space="preserve"> HI</w:t>
      </w:r>
    </w:p>
    <w:p w14:paraId="07008AE8" w14:textId="77777777" w:rsidR="00ED520A" w:rsidRDefault="00ED520A">
      <w:pPr>
        <w:pStyle w:val="Paragraphedeliste"/>
        <w:numPr>
          <w:ilvl w:val="0"/>
          <w:numId w:val="8"/>
        </w:numPr>
        <w:spacing w:after="0" w:line="259" w:lineRule="auto"/>
        <w:jc w:val="both"/>
      </w:pPr>
      <w:r>
        <w:t xml:space="preserve">Une Responsable Opérations Burkina Faso et Un Responsable Pays au Niger </w:t>
      </w:r>
    </w:p>
    <w:p w14:paraId="4FF705EE" w14:textId="0E0BEA14" w:rsidR="00ED520A" w:rsidRDefault="00ED520A">
      <w:pPr>
        <w:pStyle w:val="Paragraphedeliste"/>
        <w:numPr>
          <w:ilvl w:val="0"/>
          <w:numId w:val="8"/>
        </w:numPr>
        <w:spacing w:after="0" w:line="259" w:lineRule="auto"/>
        <w:jc w:val="both"/>
      </w:pPr>
      <w:r>
        <w:t>Un Equipe opérationnelle du projet RECOSA : une coordinatrice de consortium et un adjoint (profils techniques tous les deux) ; un responsable de zone et un chef de projet (profil technique), un</w:t>
      </w:r>
      <w:r w:rsidR="00D232F8">
        <w:t>e</w:t>
      </w:r>
      <w:r>
        <w:t xml:space="preserve"> chargée de volet Transferts Monétaires </w:t>
      </w:r>
    </w:p>
    <w:p w14:paraId="4B0CBD48" w14:textId="77777777" w:rsidR="00347272" w:rsidRDefault="00347272">
      <w:pPr>
        <w:pStyle w:val="Paragraphedeliste"/>
        <w:numPr>
          <w:ilvl w:val="0"/>
          <w:numId w:val="8"/>
        </w:numPr>
        <w:spacing w:after="0" w:line="259" w:lineRule="auto"/>
        <w:jc w:val="both"/>
      </w:pPr>
      <w:r>
        <w:lastRenderedPageBreak/>
        <w:t>Un</w:t>
      </w:r>
      <w:r w:rsidR="0014248E">
        <w:t xml:space="preserve"> </w:t>
      </w:r>
      <w:r w:rsidR="00495A32">
        <w:t>Spécialiste Réadaptation </w:t>
      </w:r>
      <w:r>
        <w:t>basé au Burkina Faso</w:t>
      </w:r>
      <w:r w:rsidR="00495A32">
        <w:t xml:space="preserve"> </w:t>
      </w:r>
    </w:p>
    <w:p w14:paraId="295F3776" w14:textId="06B69265" w:rsidR="00347272" w:rsidRDefault="00347272">
      <w:pPr>
        <w:pStyle w:val="Paragraphedeliste"/>
        <w:numPr>
          <w:ilvl w:val="0"/>
          <w:numId w:val="8"/>
        </w:numPr>
        <w:spacing w:after="0" w:line="259" w:lineRule="auto"/>
        <w:jc w:val="both"/>
      </w:pPr>
      <w:r>
        <w:t>Un</w:t>
      </w:r>
      <w:r w:rsidR="0014248E">
        <w:t xml:space="preserve"> </w:t>
      </w:r>
      <w:r w:rsidR="00495A32">
        <w:t>Spécialiste régional AHI</w:t>
      </w:r>
      <w:r>
        <w:t xml:space="preserve"> basé au Burkina Faso</w:t>
      </w:r>
      <w:r w:rsidR="00495A32">
        <w:t xml:space="preserve"> et spécialistes pays</w:t>
      </w:r>
      <w:r w:rsidR="00ED52D8">
        <w:t> </w:t>
      </w:r>
      <w:r>
        <w:t>au Burkina Faso et au Niger</w:t>
      </w:r>
    </w:p>
    <w:p w14:paraId="78A6DB27" w14:textId="4031420C" w:rsidR="00621B0F" w:rsidRDefault="00347272">
      <w:pPr>
        <w:pStyle w:val="Paragraphedeliste"/>
        <w:numPr>
          <w:ilvl w:val="0"/>
          <w:numId w:val="8"/>
        </w:numPr>
        <w:spacing w:after="0" w:line="259" w:lineRule="auto"/>
        <w:jc w:val="both"/>
      </w:pPr>
      <w:r>
        <w:t>Un</w:t>
      </w:r>
      <w:r w:rsidR="0014248E">
        <w:t xml:space="preserve"> </w:t>
      </w:r>
      <w:r w:rsidR="00495A32">
        <w:t>Spécialiste régional PSS</w:t>
      </w:r>
      <w:r>
        <w:t xml:space="preserve"> basé au Burkina Faso</w:t>
      </w:r>
      <w:r w:rsidR="00495A32">
        <w:t xml:space="preserve"> et spécialistes pays</w:t>
      </w:r>
      <w:r w:rsidR="00A24E68">
        <w:t> </w:t>
      </w:r>
      <w:r>
        <w:t>au Burkina Faso et au Niger</w:t>
      </w:r>
    </w:p>
    <w:p w14:paraId="34326BF1" w14:textId="77777777" w:rsidR="001B5748" w:rsidRDefault="001B5748" w:rsidP="001B5748">
      <w:pPr>
        <w:pStyle w:val="Paragraphedeliste"/>
        <w:spacing w:after="0" w:line="259" w:lineRule="auto"/>
        <w:ind w:left="360"/>
        <w:jc w:val="both"/>
      </w:pPr>
    </w:p>
    <w:p w14:paraId="0D63D14C" w14:textId="77777777" w:rsidR="00D024F3" w:rsidRPr="001B5748" w:rsidRDefault="00D024F3" w:rsidP="001B5748">
      <w:pPr>
        <w:autoSpaceDE w:val="0"/>
        <w:autoSpaceDN w:val="0"/>
        <w:adjustRightInd w:val="0"/>
        <w:spacing w:after="0" w:line="240" w:lineRule="auto"/>
        <w:jc w:val="both"/>
        <w:rPr>
          <w:rFonts w:cstheme="minorHAnsi"/>
          <w:b/>
          <w:bCs/>
        </w:rPr>
      </w:pPr>
    </w:p>
    <w:tbl>
      <w:tblPr>
        <w:tblStyle w:val="Grilledutableau"/>
        <w:tblW w:w="0" w:type="auto"/>
        <w:shd w:val="clear" w:color="auto" w:fill="BFBFBF" w:themeFill="background1" w:themeFillShade="BF"/>
        <w:tblLook w:val="04A0" w:firstRow="1" w:lastRow="0" w:firstColumn="1" w:lastColumn="0" w:noHBand="0" w:noVBand="1"/>
      </w:tblPr>
      <w:tblGrid>
        <w:gridCol w:w="10456"/>
      </w:tblGrid>
      <w:tr w:rsidR="007E4F72" w:rsidRPr="00285429" w14:paraId="2C6794D3" w14:textId="77777777" w:rsidTr="00F449EE">
        <w:tc>
          <w:tcPr>
            <w:tcW w:w="10606" w:type="dxa"/>
            <w:shd w:val="clear" w:color="auto" w:fill="002060"/>
          </w:tcPr>
          <w:p w14:paraId="496114CB" w14:textId="77777777" w:rsidR="007E4F72" w:rsidRPr="00285429" w:rsidRDefault="007E4F72" w:rsidP="007E4F72">
            <w:pPr>
              <w:rPr>
                <w:rFonts w:cstheme="minorHAnsi"/>
                <w:b/>
                <w:sz w:val="24"/>
                <w:szCs w:val="24"/>
              </w:rPr>
            </w:pPr>
            <w:r>
              <w:rPr>
                <w:rFonts w:cstheme="minorHAnsi"/>
                <w:b/>
                <w:sz w:val="24"/>
                <w:szCs w:val="24"/>
              </w:rPr>
              <w:t>BUT DE LA MISSION</w:t>
            </w:r>
          </w:p>
        </w:tc>
      </w:tr>
    </w:tbl>
    <w:p w14:paraId="7A2BA022" w14:textId="77777777" w:rsidR="00A94BF5" w:rsidRDefault="00A94BF5" w:rsidP="00182CFA">
      <w:pPr>
        <w:pStyle w:val="Corpsdetexte"/>
        <w:spacing w:after="0" w:line="276" w:lineRule="auto"/>
        <w:ind w:left="0"/>
        <w:jc w:val="both"/>
        <w:rPr>
          <w:rFonts w:asciiTheme="minorHAnsi" w:hAnsiTheme="minorHAnsi" w:cstheme="minorHAnsi"/>
          <w:sz w:val="22"/>
          <w:szCs w:val="22"/>
        </w:rPr>
      </w:pPr>
    </w:p>
    <w:p w14:paraId="55DF5D3F" w14:textId="0BF2BC39" w:rsidR="00263A63" w:rsidRPr="00347272" w:rsidRDefault="006A1FD2" w:rsidP="00182CFA">
      <w:pPr>
        <w:pStyle w:val="Corpsdetexte"/>
        <w:spacing w:after="0" w:line="276" w:lineRule="auto"/>
        <w:ind w:left="0"/>
        <w:jc w:val="both"/>
        <w:rPr>
          <w:rFonts w:asciiTheme="minorHAnsi" w:hAnsiTheme="minorHAnsi" w:cstheme="minorHAnsi"/>
          <w:sz w:val="22"/>
          <w:szCs w:val="22"/>
        </w:rPr>
      </w:pPr>
      <w:r w:rsidRPr="00347272">
        <w:rPr>
          <w:rFonts w:asciiTheme="minorHAnsi" w:hAnsiTheme="minorHAnsi" w:cstheme="minorHAnsi"/>
          <w:sz w:val="22"/>
          <w:szCs w:val="22"/>
        </w:rPr>
        <w:t xml:space="preserve">Sous la responsabilité </w:t>
      </w:r>
      <w:r w:rsidR="00A44261" w:rsidRPr="00347272">
        <w:rPr>
          <w:rFonts w:asciiTheme="minorHAnsi" w:hAnsiTheme="minorHAnsi" w:cstheme="minorHAnsi"/>
          <w:sz w:val="22"/>
          <w:szCs w:val="22"/>
        </w:rPr>
        <w:t xml:space="preserve">de la </w:t>
      </w:r>
      <w:proofErr w:type="spellStart"/>
      <w:r w:rsidR="00D232F8">
        <w:rPr>
          <w:rFonts w:asciiTheme="minorHAnsi" w:hAnsiTheme="minorHAnsi" w:cstheme="minorHAnsi"/>
          <w:sz w:val="22"/>
          <w:szCs w:val="22"/>
        </w:rPr>
        <w:t>Regional</w:t>
      </w:r>
      <w:proofErr w:type="spellEnd"/>
      <w:r w:rsidR="00D232F8">
        <w:rPr>
          <w:rFonts w:asciiTheme="minorHAnsi" w:hAnsiTheme="minorHAnsi" w:cstheme="minorHAnsi"/>
          <w:sz w:val="22"/>
          <w:szCs w:val="22"/>
        </w:rPr>
        <w:t xml:space="preserve"> Head of Program et en étroite collaboration avec la </w:t>
      </w:r>
      <w:r w:rsidR="004B1050" w:rsidRPr="00347272">
        <w:rPr>
          <w:rFonts w:asciiTheme="minorHAnsi" w:hAnsiTheme="minorHAnsi" w:cstheme="minorHAnsi"/>
          <w:sz w:val="22"/>
          <w:szCs w:val="22"/>
        </w:rPr>
        <w:t>Responsable des Opérations</w:t>
      </w:r>
      <w:r w:rsidR="00CF68F9" w:rsidRPr="00347272">
        <w:rPr>
          <w:rFonts w:asciiTheme="minorHAnsi" w:hAnsiTheme="minorHAnsi" w:cstheme="minorHAnsi"/>
          <w:sz w:val="22"/>
          <w:szCs w:val="22"/>
        </w:rPr>
        <w:t xml:space="preserve"> au Burkina Faso</w:t>
      </w:r>
      <w:r w:rsidR="00263A63" w:rsidRPr="00347272">
        <w:rPr>
          <w:rFonts w:asciiTheme="minorHAnsi" w:hAnsiTheme="minorHAnsi" w:cstheme="minorHAnsi"/>
          <w:sz w:val="22"/>
          <w:szCs w:val="22"/>
        </w:rPr>
        <w:t xml:space="preserve"> </w:t>
      </w:r>
      <w:r w:rsidR="00D232F8">
        <w:rPr>
          <w:rFonts w:asciiTheme="minorHAnsi" w:hAnsiTheme="minorHAnsi" w:cstheme="minorHAnsi"/>
          <w:sz w:val="22"/>
          <w:szCs w:val="22"/>
        </w:rPr>
        <w:t>et</w:t>
      </w:r>
      <w:r w:rsidR="00263A63" w:rsidRPr="00347272">
        <w:rPr>
          <w:rFonts w:asciiTheme="minorHAnsi" w:hAnsiTheme="minorHAnsi" w:cstheme="minorHAnsi"/>
          <w:sz w:val="22"/>
          <w:szCs w:val="22"/>
        </w:rPr>
        <w:t xml:space="preserve"> du </w:t>
      </w:r>
      <w:r w:rsidR="00D232F8">
        <w:rPr>
          <w:rFonts w:asciiTheme="minorHAnsi" w:hAnsiTheme="minorHAnsi" w:cstheme="minorHAnsi"/>
          <w:sz w:val="22"/>
          <w:szCs w:val="22"/>
        </w:rPr>
        <w:t>R</w:t>
      </w:r>
      <w:r w:rsidR="00263A63" w:rsidRPr="00347272">
        <w:rPr>
          <w:rFonts w:asciiTheme="minorHAnsi" w:hAnsiTheme="minorHAnsi" w:cstheme="minorHAnsi"/>
          <w:sz w:val="22"/>
          <w:szCs w:val="22"/>
        </w:rPr>
        <w:t>esponsable Pays au Niger</w:t>
      </w:r>
      <w:r w:rsidR="00CF68F9" w:rsidRPr="00347272">
        <w:rPr>
          <w:rFonts w:asciiTheme="minorHAnsi" w:hAnsiTheme="minorHAnsi" w:cstheme="minorHAnsi"/>
          <w:sz w:val="22"/>
          <w:szCs w:val="22"/>
        </w:rPr>
        <w:t>,</w:t>
      </w:r>
      <w:r w:rsidRPr="00347272">
        <w:rPr>
          <w:rFonts w:asciiTheme="minorHAnsi" w:hAnsiTheme="minorHAnsi" w:cstheme="minorHAnsi"/>
          <w:sz w:val="22"/>
          <w:szCs w:val="22"/>
        </w:rPr>
        <w:t xml:space="preserve"> c</w:t>
      </w:r>
      <w:r w:rsidR="00EE3F75" w:rsidRPr="00347272">
        <w:rPr>
          <w:rFonts w:asciiTheme="minorHAnsi" w:hAnsiTheme="minorHAnsi" w:cstheme="minorHAnsi"/>
          <w:sz w:val="22"/>
          <w:szCs w:val="22"/>
        </w:rPr>
        <w:t xml:space="preserve">ette mission devra </w:t>
      </w:r>
      <w:r w:rsidR="00E33F96" w:rsidRPr="00347272">
        <w:rPr>
          <w:rFonts w:asciiTheme="minorHAnsi" w:hAnsiTheme="minorHAnsi" w:cstheme="minorHAnsi"/>
          <w:sz w:val="22"/>
          <w:szCs w:val="22"/>
        </w:rPr>
        <w:t>permettre de</w:t>
      </w:r>
      <w:r w:rsidR="00263A63" w:rsidRPr="00347272">
        <w:rPr>
          <w:rFonts w:asciiTheme="minorHAnsi" w:hAnsiTheme="minorHAnsi" w:cstheme="minorHAnsi"/>
          <w:sz w:val="22"/>
          <w:szCs w:val="22"/>
        </w:rPr>
        <w:t> :</w:t>
      </w:r>
    </w:p>
    <w:p w14:paraId="750919F1" w14:textId="3AE58B0E" w:rsidR="00263A63" w:rsidRPr="00347272" w:rsidRDefault="00263A63">
      <w:pPr>
        <w:pStyle w:val="Corpsdetexte"/>
        <w:numPr>
          <w:ilvl w:val="0"/>
          <w:numId w:val="2"/>
        </w:numPr>
        <w:spacing w:after="0" w:line="276" w:lineRule="auto"/>
        <w:jc w:val="both"/>
        <w:rPr>
          <w:rFonts w:asciiTheme="minorHAnsi" w:hAnsiTheme="minorHAnsi" w:cstheme="minorHAnsi"/>
          <w:sz w:val="22"/>
          <w:szCs w:val="22"/>
        </w:rPr>
      </w:pPr>
      <w:proofErr w:type="gramStart"/>
      <w:r w:rsidRPr="00347272">
        <w:rPr>
          <w:rFonts w:asciiTheme="minorHAnsi" w:hAnsiTheme="minorHAnsi" w:cstheme="minorHAnsi"/>
          <w:sz w:val="22"/>
          <w:szCs w:val="22"/>
        </w:rPr>
        <w:t>contribuer</w:t>
      </w:r>
      <w:proofErr w:type="gramEnd"/>
      <w:r w:rsidRPr="00347272">
        <w:rPr>
          <w:rFonts w:asciiTheme="minorHAnsi" w:hAnsiTheme="minorHAnsi" w:cstheme="minorHAnsi"/>
          <w:sz w:val="22"/>
          <w:szCs w:val="22"/>
        </w:rPr>
        <w:t xml:space="preserve"> à</w:t>
      </w:r>
      <w:r w:rsidR="00E33F96" w:rsidRPr="00347272">
        <w:rPr>
          <w:rFonts w:asciiTheme="minorHAnsi" w:hAnsiTheme="minorHAnsi" w:cstheme="minorHAnsi"/>
          <w:sz w:val="22"/>
          <w:szCs w:val="22"/>
        </w:rPr>
        <w:t xml:space="preserve"> définir</w:t>
      </w:r>
      <w:r w:rsidRPr="00347272">
        <w:rPr>
          <w:rFonts w:asciiTheme="minorHAnsi" w:hAnsiTheme="minorHAnsi" w:cstheme="minorHAnsi"/>
          <w:sz w:val="22"/>
          <w:szCs w:val="22"/>
        </w:rPr>
        <w:t xml:space="preserve"> des</w:t>
      </w:r>
      <w:r w:rsidR="00E33F96" w:rsidRPr="00347272">
        <w:rPr>
          <w:rFonts w:asciiTheme="minorHAnsi" w:hAnsiTheme="minorHAnsi" w:cstheme="minorHAnsi"/>
          <w:sz w:val="22"/>
          <w:szCs w:val="22"/>
        </w:rPr>
        <w:t xml:space="preserve"> stratégie</w:t>
      </w:r>
      <w:r w:rsidRPr="00347272">
        <w:rPr>
          <w:rFonts w:asciiTheme="minorHAnsi" w:hAnsiTheme="minorHAnsi" w:cstheme="minorHAnsi"/>
          <w:sz w:val="22"/>
          <w:szCs w:val="22"/>
        </w:rPr>
        <w:t>s</w:t>
      </w:r>
      <w:r w:rsidR="00E33F96" w:rsidRPr="00347272">
        <w:rPr>
          <w:rFonts w:asciiTheme="minorHAnsi" w:hAnsiTheme="minorHAnsi" w:cstheme="minorHAnsi"/>
          <w:sz w:val="22"/>
          <w:szCs w:val="22"/>
        </w:rPr>
        <w:t xml:space="preserve"> d’intervention</w:t>
      </w:r>
      <w:r w:rsidR="00182CFA" w:rsidRPr="00347272">
        <w:rPr>
          <w:rFonts w:asciiTheme="minorHAnsi" w:hAnsiTheme="minorHAnsi" w:cstheme="minorHAnsi"/>
          <w:sz w:val="22"/>
          <w:szCs w:val="22"/>
        </w:rPr>
        <w:t xml:space="preserve"> </w:t>
      </w:r>
      <w:r w:rsidRPr="00347272">
        <w:rPr>
          <w:rFonts w:asciiTheme="minorHAnsi" w:hAnsiTheme="minorHAnsi" w:cstheme="minorHAnsi"/>
          <w:sz w:val="22"/>
          <w:szCs w:val="22"/>
        </w:rPr>
        <w:t>en sécurité alimentaire adaptées au contexte</w:t>
      </w:r>
      <w:r w:rsidR="001B5748" w:rsidRPr="00347272">
        <w:rPr>
          <w:rFonts w:asciiTheme="minorHAnsi" w:hAnsiTheme="minorHAnsi" w:cstheme="minorHAnsi"/>
          <w:sz w:val="22"/>
          <w:szCs w:val="22"/>
        </w:rPr>
        <w:t xml:space="preserve"> et en préparer la mise en œuvre – </w:t>
      </w:r>
      <w:r w:rsidR="001B5748" w:rsidRPr="00ED520A">
        <w:rPr>
          <w:rFonts w:asciiTheme="minorHAnsi" w:hAnsiTheme="minorHAnsi" w:cstheme="minorHAnsi"/>
          <w:b/>
          <w:sz w:val="22"/>
          <w:szCs w:val="22"/>
        </w:rPr>
        <w:t>notamment via des modalités de transfert monétaire mais aussi en explorant la pertinence et faisabilité d’activités de distribution alimentaire en nature.</w:t>
      </w:r>
    </w:p>
    <w:p w14:paraId="79352D81" w14:textId="1314602C" w:rsidR="00263A63" w:rsidRPr="00347272" w:rsidRDefault="00263A63">
      <w:pPr>
        <w:pStyle w:val="Corpsdetexte"/>
        <w:numPr>
          <w:ilvl w:val="0"/>
          <w:numId w:val="2"/>
        </w:numPr>
        <w:spacing w:after="0" w:line="276" w:lineRule="auto"/>
        <w:jc w:val="both"/>
        <w:rPr>
          <w:rFonts w:asciiTheme="minorHAnsi" w:hAnsiTheme="minorHAnsi" w:cstheme="minorHAnsi"/>
          <w:sz w:val="22"/>
          <w:szCs w:val="22"/>
        </w:rPr>
      </w:pPr>
      <w:proofErr w:type="gramStart"/>
      <w:r w:rsidRPr="00347272">
        <w:rPr>
          <w:rFonts w:asciiTheme="minorHAnsi" w:hAnsiTheme="minorHAnsi" w:cstheme="minorHAnsi"/>
          <w:sz w:val="22"/>
          <w:szCs w:val="22"/>
        </w:rPr>
        <w:t>définir</w:t>
      </w:r>
      <w:proofErr w:type="gramEnd"/>
      <w:r w:rsidRPr="00347272">
        <w:rPr>
          <w:rFonts w:asciiTheme="minorHAnsi" w:hAnsiTheme="minorHAnsi" w:cstheme="minorHAnsi"/>
          <w:sz w:val="22"/>
          <w:szCs w:val="22"/>
        </w:rPr>
        <w:t xml:space="preserve"> un catalogue de modalités d’intervention pour les transferts monétaires et recommandations pour la mise en place de chaque modalité. </w:t>
      </w:r>
    </w:p>
    <w:p w14:paraId="0FBA216C" w14:textId="543DA158" w:rsidR="00173B04" w:rsidRDefault="00347272">
      <w:pPr>
        <w:pStyle w:val="Corpsdetexte"/>
        <w:numPr>
          <w:ilvl w:val="0"/>
          <w:numId w:val="2"/>
        </w:numPr>
        <w:spacing w:after="0" w:line="276" w:lineRule="auto"/>
        <w:jc w:val="both"/>
        <w:rPr>
          <w:rFonts w:asciiTheme="minorHAnsi" w:hAnsiTheme="minorHAnsi" w:cstheme="minorHAnsi"/>
          <w:sz w:val="22"/>
          <w:szCs w:val="22"/>
        </w:rPr>
      </w:pPr>
      <w:proofErr w:type="gramStart"/>
      <w:r>
        <w:rPr>
          <w:rFonts w:asciiTheme="minorHAnsi" w:hAnsiTheme="minorHAnsi" w:cstheme="minorHAnsi"/>
          <w:sz w:val="22"/>
          <w:szCs w:val="22"/>
        </w:rPr>
        <w:t>r</w:t>
      </w:r>
      <w:r w:rsidR="00173B04">
        <w:rPr>
          <w:rFonts w:asciiTheme="minorHAnsi" w:hAnsiTheme="minorHAnsi" w:cstheme="minorHAnsi"/>
          <w:sz w:val="22"/>
          <w:szCs w:val="22"/>
        </w:rPr>
        <w:t>éaliser</w:t>
      </w:r>
      <w:proofErr w:type="gramEnd"/>
      <w:r w:rsidR="00173B04">
        <w:rPr>
          <w:rFonts w:asciiTheme="minorHAnsi" w:hAnsiTheme="minorHAnsi" w:cstheme="minorHAnsi"/>
          <w:sz w:val="22"/>
          <w:szCs w:val="22"/>
        </w:rPr>
        <w:t xml:space="preserve"> un diagnostic interne des capacités actuelles (ressources humaines, compétences/connaissances, outils…) des missions afin d’établir une liste d’actions à mettre en œuvre pour opérationnaliser les réponses en </w:t>
      </w:r>
      <w:r w:rsidR="005E2A0E">
        <w:rPr>
          <w:rFonts w:asciiTheme="minorHAnsi" w:hAnsiTheme="minorHAnsi" w:cstheme="minorHAnsi"/>
          <w:sz w:val="22"/>
          <w:szCs w:val="22"/>
        </w:rPr>
        <w:t xml:space="preserve">sécurité </w:t>
      </w:r>
      <w:r w:rsidR="00173B04">
        <w:rPr>
          <w:rFonts w:asciiTheme="minorHAnsi" w:hAnsiTheme="minorHAnsi" w:cstheme="minorHAnsi"/>
          <w:sz w:val="22"/>
          <w:szCs w:val="22"/>
        </w:rPr>
        <w:t>alimentaire</w:t>
      </w:r>
    </w:p>
    <w:p w14:paraId="096D3734" w14:textId="77777777" w:rsidR="00D232F8" w:rsidRDefault="00D232F8" w:rsidP="00D232F8">
      <w:pPr>
        <w:pStyle w:val="Corpsdetexte"/>
        <w:spacing w:after="0" w:line="276" w:lineRule="auto"/>
        <w:ind w:left="360"/>
        <w:jc w:val="both"/>
        <w:rPr>
          <w:rFonts w:asciiTheme="minorHAnsi" w:hAnsiTheme="minorHAnsi" w:cstheme="minorHAnsi"/>
          <w:sz w:val="22"/>
          <w:szCs w:val="22"/>
        </w:rPr>
      </w:pPr>
    </w:p>
    <w:tbl>
      <w:tblPr>
        <w:tblStyle w:val="Grilledutableau"/>
        <w:tblW w:w="0" w:type="auto"/>
        <w:shd w:val="clear" w:color="auto" w:fill="002060"/>
        <w:tblLook w:val="04A0" w:firstRow="1" w:lastRow="0" w:firstColumn="1" w:lastColumn="0" w:noHBand="0" w:noVBand="1"/>
      </w:tblPr>
      <w:tblGrid>
        <w:gridCol w:w="10456"/>
      </w:tblGrid>
      <w:tr w:rsidR="003C2243" w:rsidRPr="00285429" w14:paraId="4730FEC3" w14:textId="77777777" w:rsidTr="00D232F8">
        <w:tc>
          <w:tcPr>
            <w:tcW w:w="10456" w:type="dxa"/>
            <w:shd w:val="clear" w:color="auto" w:fill="002060"/>
          </w:tcPr>
          <w:p w14:paraId="08B5F2D1" w14:textId="7B12F4EB" w:rsidR="003C2243" w:rsidRPr="00285429" w:rsidRDefault="003C2243" w:rsidP="000F2D09">
            <w:pPr>
              <w:rPr>
                <w:rFonts w:cstheme="minorHAnsi"/>
                <w:b/>
                <w:sz w:val="24"/>
                <w:szCs w:val="24"/>
              </w:rPr>
            </w:pPr>
            <w:r>
              <w:rPr>
                <w:rFonts w:cstheme="minorHAnsi"/>
                <w:b/>
                <w:sz w:val="24"/>
                <w:szCs w:val="24"/>
              </w:rPr>
              <w:t xml:space="preserve">RESULTATS ATTENDUS </w:t>
            </w:r>
            <w:r w:rsidR="00F449EE">
              <w:rPr>
                <w:rFonts w:cstheme="minorHAnsi"/>
                <w:b/>
                <w:sz w:val="24"/>
                <w:szCs w:val="24"/>
              </w:rPr>
              <w:t>&amp; LIVRABLES</w:t>
            </w:r>
          </w:p>
        </w:tc>
      </w:tr>
    </w:tbl>
    <w:p w14:paraId="21B0F0D1" w14:textId="77777777" w:rsidR="00A94BF5" w:rsidRDefault="00A94BF5" w:rsidP="00F449EE">
      <w:pPr>
        <w:pStyle w:val="Commentaire"/>
        <w:tabs>
          <w:tab w:val="left" w:pos="0"/>
        </w:tabs>
        <w:spacing w:line="276" w:lineRule="auto"/>
        <w:rPr>
          <w:sz w:val="22"/>
        </w:rPr>
      </w:pPr>
    </w:p>
    <w:p w14:paraId="3F2B9A2E" w14:textId="76AB38DA" w:rsidR="008A37D9" w:rsidRPr="00347272" w:rsidRDefault="008A37D9" w:rsidP="00F449EE">
      <w:pPr>
        <w:pStyle w:val="Commentaire"/>
        <w:tabs>
          <w:tab w:val="left" w:pos="0"/>
        </w:tabs>
        <w:spacing w:line="276" w:lineRule="auto"/>
        <w:rPr>
          <w:sz w:val="22"/>
        </w:rPr>
      </w:pPr>
      <w:r w:rsidRPr="000F2D09">
        <w:rPr>
          <w:sz w:val="22"/>
        </w:rPr>
        <w:t>Dans chacun des pays (au Burkina Faso &amp; au Niger) :</w:t>
      </w:r>
    </w:p>
    <w:p w14:paraId="06C6A970" w14:textId="7B560B04" w:rsidR="008A37D9" w:rsidRDefault="006A17F9" w:rsidP="00F449EE">
      <w:pPr>
        <w:spacing w:after="0"/>
        <w:jc w:val="both"/>
      </w:pPr>
      <w:r w:rsidRPr="00ED520A">
        <w:rPr>
          <w:b/>
          <w:u w:val="single"/>
        </w:rPr>
        <w:t>Résultat attendu 1</w:t>
      </w:r>
      <w:r w:rsidR="00D232F8" w:rsidRPr="00D232F8">
        <w:rPr>
          <w:b/>
        </w:rPr>
        <w:t xml:space="preserve"> </w:t>
      </w:r>
      <w:r w:rsidRPr="00D232F8">
        <w:rPr>
          <w:b/>
        </w:rPr>
        <w:t xml:space="preserve">: </w:t>
      </w:r>
      <w:r w:rsidR="008A37D9" w:rsidRPr="000F2D09">
        <w:t xml:space="preserve">Mener une </w:t>
      </w:r>
      <w:r w:rsidR="0096646C">
        <w:rPr>
          <w:b/>
        </w:rPr>
        <w:t>analyse</w:t>
      </w:r>
      <w:r w:rsidR="0096646C" w:rsidRPr="000F2D09">
        <w:rPr>
          <w:b/>
        </w:rPr>
        <w:t xml:space="preserve"> </w:t>
      </w:r>
      <w:r w:rsidR="008A37D9" w:rsidRPr="000F2D09">
        <w:rPr>
          <w:b/>
        </w:rPr>
        <w:t xml:space="preserve">de la </w:t>
      </w:r>
      <w:r w:rsidR="00616655">
        <w:rPr>
          <w:b/>
        </w:rPr>
        <w:t>situation</w:t>
      </w:r>
      <w:r w:rsidR="0096646C">
        <w:rPr>
          <w:b/>
        </w:rPr>
        <w:t xml:space="preserve"> en </w:t>
      </w:r>
      <w:r w:rsidR="008A37D9" w:rsidRPr="000F2D09">
        <w:rPr>
          <w:b/>
        </w:rPr>
        <w:t>sécurité alimentaire</w:t>
      </w:r>
      <w:r w:rsidR="008A37D9" w:rsidRPr="000F2D09">
        <w:t xml:space="preserve"> afin de mieux </w:t>
      </w:r>
      <w:r w:rsidR="00616655">
        <w:t>cerner</w:t>
      </w:r>
      <w:r w:rsidR="00616655" w:rsidRPr="000F2D09">
        <w:t xml:space="preserve"> </w:t>
      </w:r>
      <w:r w:rsidR="00616655">
        <w:t>les priorités à court et moyen terme</w:t>
      </w:r>
      <w:r w:rsidR="0096646C">
        <w:t>,</w:t>
      </w:r>
      <w:r w:rsidR="008A37D9" w:rsidRPr="000F2D09">
        <w:t xml:space="preserve"> </w:t>
      </w:r>
      <w:r w:rsidR="005E2A0E">
        <w:t xml:space="preserve">les </w:t>
      </w:r>
      <w:r w:rsidR="008A37D9" w:rsidRPr="000F2D09">
        <w:t>réponses mises en place tant par HI que par les acteurs sur place</w:t>
      </w:r>
      <w:r w:rsidR="0096646C">
        <w:t xml:space="preserve"> et les opportunités </w:t>
      </w:r>
      <w:r w:rsidR="00616655">
        <w:t xml:space="preserve">et contraintes </w:t>
      </w:r>
      <w:r w:rsidR="0096646C">
        <w:t>d’intervention</w:t>
      </w:r>
      <w:r w:rsidR="008A37D9" w:rsidRPr="000F2D09">
        <w:t>. Cela aidera au positionnement et au développement de projets de sécurité alimentaire appropriés.</w:t>
      </w:r>
    </w:p>
    <w:p w14:paraId="69C479BC" w14:textId="77777777" w:rsidR="00347272" w:rsidRPr="000F2D09" w:rsidRDefault="00347272" w:rsidP="00F449EE">
      <w:pPr>
        <w:spacing w:after="0"/>
        <w:jc w:val="both"/>
      </w:pPr>
    </w:p>
    <w:p w14:paraId="4691E3AC" w14:textId="71C83C5B" w:rsidR="0096646C" w:rsidRDefault="00616655">
      <w:pPr>
        <w:pStyle w:val="Paragraphedeliste"/>
        <w:numPr>
          <w:ilvl w:val="0"/>
          <w:numId w:val="4"/>
        </w:numPr>
        <w:spacing w:after="0"/>
        <w:jc w:val="both"/>
      </w:pPr>
      <w:r>
        <w:t>Cartographie et analyse des</w:t>
      </w:r>
      <w:r w:rsidR="008A37D9">
        <w:t xml:space="preserve"> positionnements et stratégies des partenaires et acteurs en sécurité alimentaire (rencontres</w:t>
      </w:r>
      <w:r w:rsidR="008A37D9" w:rsidRPr="522EC381">
        <w:t xml:space="preserve"> ONG, ONGI, </w:t>
      </w:r>
      <w:r w:rsidR="006F71BA">
        <w:t xml:space="preserve">Croix Rouge, PAM, </w:t>
      </w:r>
      <w:r w:rsidR="008A37D9" w:rsidRPr="522EC381">
        <w:t>Cluster sécu alim, Cash WG</w:t>
      </w:r>
      <w:r w:rsidR="00A24E68">
        <w:t>.</w:t>
      </w:r>
      <w:r w:rsidR="008A37D9">
        <w:t>..)</w:t>
      </w:r>
      <w:r>
        <w:t> ; identification des synergies, alliances</w:t>
      </w:r>
      <w:r w:rsidR="00E04C56">
        <w:t xml:space="preserve"> et</w:t>
      </w:r>
      <w:r>
        <w:t xml:space="preserve"> partenariat</w:t>
      </w:r>
      <w:r w:rsidR="00E04C56">
        <w:t>s</w:t>
      </w:r>
      <w:r>
        <w:t xml:space="preserve"> potentiels</w:t>
      </w:r>
    </w:p>
    <w:p w14:paraId="663EF8F7" w14:textId="5BCEDD57" w:rsidR="008A37D9" w:rsidRDefault="008A37D9">
      <w:pPr>
        <w:pStyle w:val="Paragraphedeliste"/>
        <w:numPr>
          <w:ilvl w:val="0"/>
          <w:numId w:val="4"/>
        </w:numPr>
        <w:spacing w:after="0"/>
        <w:jc w:val="both"/>
      </w:pPr>
      <w:r>
        <w:t>Prise de connaissance des projets humanitaires de HI et expériences de transferts monétaires : lecture des documents de projet</w:t>
      </w:r>
      <w:r w:rsidR="00A03D27">
        <w:t>,</w:t>
      </w:r>
      <w:r>
        <w:t xml:space="preserve"> rapports d’évaluation et de capitalisation disponibles, rencontres avec les équipes </w:t>
      </w:r>
      <w:r w:rsidR="00A03D27">
        <w:t xml:space="preserve">opérationnelles et techniques </w:t>
      </w:r>
      <w:r>
        <w:t>(projets résilience, projet abris/AME, projet santé mentale et soutien psychosocial, projet de kinésithérapie de stimulation en complément des approches nutrition</w:t>
      </w:r>
      <w:r w:rsidR="000F2D09">
        <w:t xml:space="preserve"> et projet d’action humanitaire inclusive</w:t>
      </w:r>
      <w:r>
        <w:t>)</w:t>
      </w:r>
      <w:r w:rsidR="00A03D27">
        <w:t xml:space="preserve"> </w:t>
      </w:r>
      <w:r w:rsidR="00A03D27" w:rsidRPr="00B70ADA">
        <w:t>ainsi qu’avec les équipes logistique</w:t>
      </w:r>
      <w:r w:rsidR="00A8295F" w:rsidRPr="00B70ADA">
        <w:t>s</w:t>
      </w:r>
    </w:p>
    <w:p w14:paraId="2A0E4B51" w14:textId="28AAAF02" w:rsidR="000D4022" w:rsidRDefault="000D4022">
      <w:pPr>
        <w:pStyle w:val="Paragraphedeliste"/>
        <w:numPr>
          <w:ilvl w:val="0"/>
          <w:numId w:val="4"/>
        </w:numPr>
        <w:spacing w:after="0"/>
        <w:jc w:val="both"/>
      </w:pPr>
      <w:r>
        <w:t>Analyse de</w:t>
      </w:r>
      <w:r w:rsidR="00616655">
        <w:t>s</w:t>
      </w:r>
      <w:r>
        <w:t xml:space="preserve"> contraintes et opportunités pour la mise en œuvre de réponses en sécurité alimentaire</w:t>
      </w:r>
      <w:r w:rsidR="00616655">
        <w:t>.</w:t>
      </w:r>
    </w:p>
    <w:p w14:paraId="5E395A0C" w14:textId="77777777" w:rsidR="00487922" w:rsidRDefault="00487922" w:rsidP="00F449EE">
      <w:pPr>
        <w:pStyle w:val="Commentaire"/>
        <w:spacing w:after="0" w:line="276" w:lineRule="auto"/>
        <w:rPr>
          <w:b/>
          <w:sz w:val="22"/>
        </w:rPr>
      </w:pPr>
    </w:p>
    <w:p w14:paraId="18E21318" w14:textId="59407066" w:rsidR="008A37D9" w:rsidRPr="00ED520A" w:rsidRDefault="000F2D09" w:rsidP="00F449EE">
      <w:pPr>
        <w:pStyle w:val="Commentaire"/>
        <w:spacing w:after="0" w:line="276" w:lineRule="auto"/>
        <w:rPr>
          <w:b/>
          <w:sz w:val="22"/>
        </w:rPr>
      </w:pPr>
      <w:r w:rsidRPr="00ED520A">
        <w:rPr>
          <w:b/>
          <w:sz w:val="22"/>
        </w:rPr>
        <w:t>Livrables</w:t>
      </w:r>
      <w:r w:rsidR="00487922">
        <w:rPr>
          <w:b/>
          <w:sz w:val="22"/>
        </w:rPr>
        <w:t xml:space="preserve"> </w:t>
      </w:r>
      <w:r w:rsidR="008A37D9" w:rsidRPr="00ED520A">
        <w:rPr>
          <w:b/>
          <w:sz w:val="22"/>
        </w:rPr>
        <w:t xml:space="preserve">: </w:t>
      </w:r>
    </w:p>
    <w:p w14:paraId="340340C2" w14:textId="77777777" w:rsidR="008A37D9" w:rsidRPr="00B70ADA" w:rsidRDefault="008A37D9">
      <w:pPr>
        <w:pStyle w:val="Commentaire"/>
        <w:numPr>
          <w:ilvl w:val="0"/>
          <w:numId w:val="3"/>
        </w:numPr>
        <w:spacing w:after="0" w:line="276" w:lineRule="auto"/>
        <w:rPr>
          <w:sz w:val="22"/>
        </w:rPr>
      </w:pPr>
      <w:r w:rsidRPr="00B70ADA">
        <w:rPr>
          <w:sz w:val="22"/>
        </w:rPr>
        <w:t>Cartographie des acteurs, bailleurs et contacts</w:t>
      </w:r>
    </w:p>
    <w:p w14:paraId="7BD81F6D" w14:textId="187EF586" w:rsidR="008A37D9" w:rsidRPr="00B70ADA" w:rsidRDefault="008A37D9">
      <w:pPr>
        <w:pStyle w:val="Commentaire"/>
        <w:numPr>
          <w:ilvl w:val="0"/>
          <w:numId w:val="3"/>
        </w:numPr>
        <w:spacing w:after="0" w:line="276" w:lineRule="auto"/>
        <w:rPr>
          <w:sz w:val="22"/>
        </w:rPr>
      </w:pPr>
      <w:r w:rsidRPr="00B70ADA">
        <w:rPr>
          <w:sz w:val="22"/>
        </w:rPr>
        <w:t>Compte rendus des entretiens av</w:t>
      </w:r>
      <w:r w:rsidR="00ED520A">
        <w:rPr>
          <w:sz w:val="22"/>
        </w:rPr>
        <w:t xml:space="preserve">ec les partenaires et </w:t>
      </w:r>
      <w:r w:rsidRPr="00B70ADA">
        <w:rPr>
          <w:sz w:val="22"/>
        </w:rPr>
        <w:t>acteurs en externe et en interne</w:t>
      </w:r>
    </w:p>
    <w:p w14:paraId="1AE64BB1" w14:textId="77777777" w:rsidR="00ED520A" w:rsidRDefault="00BB3383">
      <w:pPr>
        <w:pStyle w:val="Commentaire"/>
        <w:numPr>
          <w:ilvl w:val="0"/>
          <w:numId w:val="3"/>
        </w:numPr>
        <w:spacing w:after="0" w:line="276" w:lineRule="auto"/>
        <w:rPr>
          <w:sz w:val="22"/>
        </w:rPr>
      </w:pPr>
      <w:r w:rsidRPr="00B70ADA">
        <w:rPr>
          <w:sz w:val="22"/>
        </w:rPr>
        <w:t>Modalités utilisées</w:t>
      </w:r>
      <w:r w:rsidR="00F971D1" w:rsidRPr="00B70ADA">
        <w:rPr>
          <w:sz w:val="22"/>
        </w:rPr>
        <w:t xml:space="preserve"> par les partenaires</w:t>
      </w:r>
      <w:r w:rsidRPr="00B70ADA">
        <w:rPr>
          <w:sz w:val="22"/>
        </w:rPr>
        <w:t xml:space="preserve"> dans le pays </w:t>
      </w:r>
      <w:r w:rsidR="001049A4" w:rsidRPr="00B70ADA">
        <w:rPr>
          <w:sz w:val="22"/>
        </w:rPr>
        <w:t xml:space="preserve">actuellement </w:t>
      </w:r>
      <w:r w:rsidRPr="00B70ADA">
        <w:rPr>
          <w:sz w:val="22"/>
        </w:rPr>
        <w:t>(spécificité par</w:t>
      </w:r>
      <w:r w:rsidR="00ED520A">
        <w:rPr>
          <w:sz w:val="22"/>
        </w:rPr>
        <w:t xml:space="preserve"> région / province si possible)</w:t>
      </w:r>
    </w:p>
    <w:p w14:paraId="113D638D" w14:textId="01B8CC84" w:rsidR="004E22C8" w:rsidRDefault="004E22C8">
      <w:pPr>
        <w:pStyle w:val="Commentaire"/>
        <w:numPr>
          <w:ilvl w:val="0"/>
          <w:numId w:val="3"/>
        </w:numPr>
        <w:spacing w:after="0" w:line="276" w:lineRule="auto"/>
        <w:rPr>
          <w:sz w:val="22"/>
        </w:rPr>
      </w:pPr>
      <w:r w:rsidRPr="00ED520A">
        <w:rPr>
          <w:sz w:val="22"/>
        </w:rPr>
        <w:t xml:space="preserve">Un aperçu des gaps de </w:t>
      </w:r>
      <w:r w:rsidR="00D72F53" w:rsidRPr="00ED520A">
        <w:rPr>
          <w:sz w:val="22"/>
        </w:rPr>
        <w:t>couverture en sécurité</w:t>
      </w:r>
      <w:r w:rsidRPr="00ED520A">
        <w:rPr>
          <w:sz w:val="22"/>
        </w:rPr>
        <w:t xml:space="preserve"> alimentaire dans les zones en crise</w:t>
      </w:r>
      <w:r w:rsidR="00D72F53" w:rsidRPr="00ED520A">
        <w:rPr>
          <w:sz w:val="22"/>
        </w:rPr>
        <w:t xml:space="preserve"> (Tillabéry et Maradi)</w:t>
      </w:r>
    </w:p>
    <w:p w14:paraId="298AA149" w14:textId="42554596" w:rsidR="000D4022" w:rsidRPr="00ED520A" w:rsidRDefault="000D4022">
      <w:pPr>
        <w:pStyle w:val="Commentaire"/>
        <w:numPr>
          <w:ilvl w:val="0"/>
          <w:numId w:val="3"/>
        </w:numPr>
        <w:spacing w:after="0" w:line="276" w:lineRule="auto"/>
        <w:rPr>
          <w:sz w:val="22"/>
        </w:rPr>
      </w:pPr>
      <w:r>
        <w:rPr>
          <w:sz w:val="22"/>
        </w:rPr>
        <w:t xml:space="preserve">Une note de projet </w:t>
      </w:r>
      <w:r w:rsidR="00616655">
        <w:rPr>
          <w:sz w:val="22"/>
        </w:rPr>
        <w:t xml:space="preserve">(ou une note de positionnement stratégique ?) </w:t>
      </w:r>
      <w:r>
        <w:rPr>
          <w:sz w:val="22"/>
        </w:rPr>
        <w:t>pour de futures interventions / interventions complémentaires</w:t>
      </w:r>
    </w:p>
    <w:p w14:paraId="2D3A8758" w14:textId="1824E46E" w:rsidR="00DD3C15" w:rsidRDefault="00DD3C15" w:rsidP="00F449EE">
      <w:pPr>
        <w:pStyle w:val="Commentaire"/>
        <w:tabs>
          <w:tab w:val="left" w:pos="0"/>
        </w:tabs>
        <w:spacing w:after="0" w:line="276" w:lineRule="auto"/>
        <w:rPr>
          <w:sz w:val="22"/>
        </w:rPr>
      </w:pPr>
    </w:p>
    <w:p w14:paraId="0C0367B0" w14:textId="77777777" w:rsidR="00487922" w:rsidRPr="00DD3FC0" w:rsidRDefault="00487922" w:rsidP="00F449EE">
      <w:pPr>
        <w:pStyle w:val="Commentaire"/>
        <w:tabs>
          <w:tab w:val="left" w:pos="0"/>
        </w:tabs>
        <w:spacing w:after="0" w:line="276" w:lineRule="auto"/>
        <w:rPr>
          <w:sz w:val="22"/>
        </w:rPr>
      </w:pPr>
    </w:p>
    <w:p w14:paraId="060C94FA" w14:textId="34289889" w:rsidR="0096646C" w:rsidRDefault="006A17F9" w:rsidP="00F449EE">
      <w:pPr>
        <w:pStyle w:val="Commentaire"/>
        <w:tabs>
          <w:tab w:val="left" w:pos="0"/>
        </w:tabs>
        <w:spacing w:after="0" w:line="276" w:lineRule="auto"/>
        <w:jc w:val="both"/>
        <w:rPr>
          <w:sz w:val="22"/>
        </w:rPr>
      </w:pPr>
      <w:r w:rsidRPr="00ED520A">
        <w:rPr>
          <w:b/>
          <w:sz w:val="22"/>
          <w:u w:val="single"/>
        </w:rPr>
        <w:lastRenderedPageBreak/>
        <w:t>Résultat attendu 2 :</w:t>
      </w:r>
      <w:r w:rsidRPr="00DD3FC0">
        <w:rPr>
          <w:b/>
          <w:sz w:val="22"/>
        </w:rPr>
        <w:t xml:space="preserve"> </w:t>
      </w:r>
      <w:r w:rsidR="008A37D9" w:rsidRPr="00347272">
        <w:rPr>
          <w:b/>
          <w:sz w:val="22"/>
        </w:rPr>
        <w:t xml:space="preserve">Analyse et définition </w:t>
      </w:r>
      <w:r w:rsidR="005E2A0E">
        <w:rPr>
          <w:b/>
          <w:sz w:val="22"/>
        </w:rPr>
        <w:t xml:space="preserve">d’un </w:t>
      </w:r>
      <w:r w:rsidR="008A37D9" w:rsidRPr="00347272">
        <w:rPr>
          <w:b/>
          <w:sz w:val="22"/>
        </w:rPr>
        <w:t>catalogue de modalités d’intervention pour les transferts monétaires</w:t>
      </w:r>
    </w:p>
    <w:p w14:paraId="493ACEDE" w14:textId="2BAE5534" w:rsidR="0096646C" w:rsidRDefault="0096646C" w:rsidP="0096646C">
      <w:pPr>
        <w:spacing w:after="0"/>
        <w:jc w:val="both"/>
      </w:pPr>
      <w:r>
        <w:t>L’objectif, compte tenu de la volatilité du contexte et des enjeux d’accès d’</w:t>
      </w:r>
      <w:r w:rsidRPr="7C166357">
        <w:t xml:space="preserve">être en mesure d’avoir une flexibilité </w:t>
      </w:r>
      <w:r>
        <w:t>totale</w:t>
      </w:r>
      <w:r w:rsidRPr="7C166357">
        <w:t xml:space="preserve"> entre les modalités e</w:t>
      </w:r>
      <w:r>
        <w:t>t de faire des recommandations sur les</w:t>
      </w:r>
      <w:r w:rsidRPr="7C166357">
        <w:t xml:space="preserve"> différents scenarii</w:t>
      </w:r>
      <w:r>
        <w:t>.</w:t>
      </w:r>
    </w:p>
    <w:p w14:paraId="3967006E" w14:textId="13643331" w:rsidR="000F2D09" w:rsidRDefault="000F2D09" w:rsidP="00F449EE">
      <w:pPr>
        <w:pStyle w:val="Commentaire"/>
        <w:tabs>
          <w:tab w:val="left" w:pos="0"/>
        </w:tabs>
        <w:spacing w:after="0" w:line="276" w:lineRule="auto"/>
        <w:jc w:val="both"/>
        <w:rPr>
          <w:sz w:val="22"/>
        </w:rPr>
      </w:pPr>
    </w:p>
    <w:p w14:paraId="157D498F" w14:textId="288C1256" w:rsidR="00ED520A" w:rsidRPr="00ED520A" w:rsidRDefault="008A37D9">
      <w:pPr>
        <w:pStyle w:val="Commentaire"/>
        <w:numPr>
          <w:ilvl w:val="0"/>
          <w:numId w:val="6"/>
        </w:numPr>
        <w:spacing w:after="0" w:line="276" w:lineRule="auto"/>
        <w:jc w:val="both"/>
        <w:rPr>
          <w:sz w:val="24"/>
        </w:rPr>
      </w:pPr>
      <w:r w:rsidRPr="000F2D09">
        <w:rPr>
          <w:sz w:val="22"/>
        </w:rPr>
        <w:t>Etude comparative des mécanismes de distributions (monnaie ou coupon électronique ; paiement direct</w:t>
      </w:r>
      <w:r w:rsidR="00ED520A">
        <w:rPr>
          <w:sz w:val="22"/>
        </w:rPr>
        <w:t> ; en nature</w:t>
      </w:r>
      <w:r w:rsidRPr="000F2D09">
        <w:rPr>
          <w:sz w:val="22"/>
        </w:rPr>
        <w:t>…) et des fournisseurs d</w:t>
      </w:r>
      <w:r w:rsidR="00ED520A">
        <w:rPr>
          <w:sz w:val="22"/>
        </w:rPr>
        <w:t>e service financier disponibles, r</w:t>
      </w:r>
      <w:r w:rsidR="00ED520A" w:rsidRPr="00B70ADA">
        <w:rPr>
          <w:sz w:val="22"/>
        </w:rPr>
        <w:t>encontres avec les opérateurs de téléphoni</w:t>
      </w:r>
      <w:r w:rsidR="00ED520A">
        <w:rPr>
          <w:sz w:val="22"/>
        </w:rPr>
        <w:t xml:space="preserve">e et autres intermédiaires de transferts monétaires </w:t>
      </w:r>
    </w:p>
    <w:p w14:paraId="7D28EA8E" w14:textId="2EED15EA" w:rsidR="007F51F9" w:rsidRPr="00ED520A" w:rsidRDefault="00ED520A">
      <w:pPr>
        <w:pStyle w:val="Commentaire"/>
        <w:numPr>
          <w:ilvl w:val="0"/>
          <w:numId w:val="6"/>
        </w:numPr>
        <w:spacing w:after="0" w:line="276" w:lineRule="auto"/>
        <w:jc w:val="both"/>
        <w:rPr>
          <w:sz w:val="24"/>
        </w:rPr>
      </w:pPr>
      <w:r>
        <w:rPr>
          <w:sz w:val="22"/>
        </w:rPr>
        <w:t>R</w:t>
      </w:r>
      <w:r w:rsidR="008A37D9" w:rsidRPr="000F2D09">
        <w:rPr>
          <w:sz w:val="22"/>
        </w:rPr>
        <w:t>ecomman</w:t>
      </w:r>
      <w:r>
        <w:rPr>
          <w:sz w:val="22"/>
        </w:rPr>
        <w:t>dations techniques et possibles</w:t>
      </w:r>
    </w:p>
    <w:p w14:paraId="64CFD999" w14:textId="5627774F" w:rsidR="0096646C" w:rsidRDefault="0096646C" w:rsidP="0096646C">
      <w:pPr>
        <w:pStyle w:val="Paragraphedeliste"/>
        <w:numPr>
          <w:ilvl w:val="0"/>
          <w:numId w:val="6"/>
        </w:numPr>
        <w:spacing w:after="0"/>
        <w:jc w:val="both"/>
      </w:pPr>
      <w:r>
        <w:t>Faire un</w:t>
      </w:r>
      <w:r w:rsidRPr="7C166357">
        <w:t xml:space="preserve"> état des lieux </w:t>
      </w:r>
      <w:r>
        <w:t xml:space="preserve">des formations, processus, outils, qui manquent </w:t>
      </w:r>
      <w:r w:rsidRPr="7C166357">
        <w:t>pour pouvoir opérationnaliser</w:t>
      </w:r>
      <w:r>
        <w:t xml:space="preserve"> les différents scenarii (plan d’accompagnement à déployer en phase suivante, notamment </w:t>
      </w:r>
      <w:r w:rsidRPr="7C166357">
        <w:t xml:space="preserve">préparation de la </w:t>
      </w:r>
      <w:r>
        <w:t>logistique)</w:t>
      </w:r>
    </w:p>
    <w:p w14:paraId="7C1D2616" w14:textId="77777777" w:rsidR="008A37D9" w:rsidRPr="00DD3FC0" w:rsidRDefault="008A37D9" w:rsidP="00F449EE">
      <w:pPr>
        <w:pStyle w:val="Commentaire"/>
        <w:tabs>
          <w:tab w:val="left" w:pos="0"/>
        </w:tabs>
        <w:spacing w:after="0" w:line="276" w:lineRule="auto"/>
        <w:jc w:val="both"/>
        <w:rPr>
          <w:sz w:val="22"/>
        </w:rPr>
      </w:pPr>
    </w:p>
    <w:p w14:paraId="054B1674" w14:textId="1C1351E0" w:rsidR="00DD3C15" w:rsidRPr="00ED520A" w:rsidRDefault="00085AA3" w:rsidP="00F449EE">
      <w:pPr>
        <w:pStyle w:val="Commentaire"/>
        <w:spacing w:after="0" w:line="276" w:lineRule="auto"/>
        <w:jc w:val="both"/>
        <w:rPr>
          <w:b/>
          <w:sz w:val="22"/>
        </w:rPr>
      </w:pPr>
      <w:r w:rsidRPr="00ED520A">
        <w:rPr>
          <w:b/>
          <w:sz w:val="22"/>
        </w:rPr>
        <w:t>Livrabl</w:t>
      </w:r>
      <w:r w:rsidR="00A03D27" w:rsidRPr="00ED520A">
        <w:rPr>
          <w:b/>
          <w:sz w:val="22"/>
        </w:rPr>
        <w:t>es</w:t>
      </w:r>
      <w:r w:rsidR="00A94BF5">
        <w:rPr>
          <w:b/>
          <w:sz w:val="22"/>
        </w:rPr>
        <w:t xml:space="preserve"> </w:t>
      </w:r>
      <w:r w:rsidR="006A17F9" w:rsidRPr="00ED520A">
        <w:rPr>
          <w:b/>
          <w:sz w:val="22"/>
        </w:rPr>
        <w:t xml:space="preserve">: </w:t>
      </w:r>
    </w:p>
    <w:p w14:paraId="2CA90861" w14:textId="1947331E" w:rsidR="000F2D09" w:rsidRPr="00B70ADA" w:rsidRDefault="00ED520A">
      <w:pPr>
        <w:pStyle w:val="Commentaire"/>
        <w:numPr>
          <w:ilvl w:val="0"/>
          <w:numId w:val="1"/>
        </w:numPr>
        <w:spacing w:after="0" w:line="276" w:lineRule="auto"/>
        <w:jc w:val="both"/>
        <w:rPr>
          <w:i/>
          <w:sz w:val="22"/>
        </w:rPr>
      </w:pPr>
      <w:r>
        <w:rPr>
          <w:sz w:val="22"/>
        </w:rPr>
        <w:t>Rapport d’étude comparative :</w:t>
      </w:r>
      <w:r w:rsidR="00B70ADA">
        <w:rPr>
          <w:sz w:val="22"/>
        </w:rPr>
        <w:t xml:space="preserve"> </w:t>
      </w:r>
      <w:r>
        <w:rPr>
          <w:sz w:val="22"/>
        </w:rPr>
        <w:t> c</w:t>
      </w:r>
      <w:r w:rsidR="00596991" w:rsidRPr="00B70ADA">
        <w:rPr>
          <w:sz w:val="22"/>
        </w:rPr>
        <w:t>atalogue des modalités d’intervention</w:t>
      </w:r>
      <w:r>
        <w:rPr>
          <w:sz w:val="22"/>
        </w:rPr>
        <w:t> </w:t>
      </w:r>
    </w:p>
    <w:p w14:paraId="1E99A0A6" w14:textId="1853D0DB" w:rsidR="00ED520A" w:rsidRDefault="008C33EC">
      <w:pPr>
        <w:pStyle w:val="Commentaire"/>
        <w:numPr>
          <w:ilvl w:val="0"/>
          <w:numId w:val="1"/>
        </w:numPr>
        <w:spacing w:after="0" w:line="276" w:lineRule="auto"/>
        <w:jc w:val="both"/>
        <w:rPr>
          <w:sz w:val="22"/>
        </w:rPr>
      </w:pPr>
      <w:r w:rsidRPr="00B70ADA">
        <w:rPr>
          <w:sz w:val="22"/>
        </w:rPr>
        <w:t>Proposition sur la/les modalités à uti</w:t>
      </w:r>
      <w:r w:rsidR="00ED520A">
        <w:rPr>
          <w:sz w:val="22"/>
        </w:rPr>
        <w:t xml:space="preserve">liser sur les zones ciblées </w:t>
      </w:r>
      <w:r w:rsidR="00616655">
        <w:rPr>
          <w:sz w:val="22"/>
        </w:rPr>
        <w:t xml:space="preserve">par </w:t>
      </w:r>
      <w:r w:rsidR="00ED520A">
        <w:rPr>
          <w:sz w:val="22"/>
        </w:rPr>
        <w:t xml:space="preserve">HI : </w:t>
      </w:r>
      <w:r w:rsidRPr="00B70ADA">
        <w:rPr>
          <w:sz w:val="22"/>
        </w:rPr>
        <w:t>avantages et inconvénients de chacune d</w:t>
      </w:r>
      <w:r w:rsidR="00ED520A">
        <w:rPr>
          <w:sz w:val="22"/>
        </w:rPr>
        <w:t>es modalités étudiées/comparées</w:t>
      </w:r>
    </w:p>
    <w:p w14:paraId="71510F58" w14:textId="08EC2806" w:rsidR="00D176A3" w:rsidRPr="00ED520A" w:rsidRDefault="00ED520A">
      <w:pPr>
        <w:pStyle w:val="Commentaire"/>
        <w:numPr>
          <w:ilvl w:val="0"/>
          <w:numId w:val="1"/>
        </w:numPr>
        <w:spacing w:after="0" w:line="276" w:lineRule="auto"/>
        <w:jc w:val="both"/>
        <w:rPr>
          <w:sz w:val="22"/>
        </w:rPr>
      </w:pPr>
      <w:r w:rsidRPr="00ED520A">
        <w:rPr>
          <w:sz w:val="22"/>
        </w:rPr>
        <w:t xml:space="preserve">Pour chaque modalité, des </w:t>
      </w:r>
      <w:r w:rsidR="000F2D09" w:rsidRPr="00ED520A">
        <w:rPr>
          <w:sz w:val="22"/>
        </w:rPr>
        <w:t xml:space="preserve">recommandations et </w:t>
      </w:r>
      <w:r w:rsidRPr="00ED520A">
        <w:rPr>
          <w:sz w:val="22"/>
        </w:rPr>
        <w:t xml:space="preserve">un </w:t>
      </w:r>
      <w:r w:rsidR="000F2D09" w:rsidRPr="00ED520A">
        <w:rPr>
          <w:sz w:val="22"/>
        </w:rPr>
        <w:t>plan d’action intégrant des mesures de préparation </w:t>
      </w:r>
      <w:r w:rsidR="00596991" w:rsidRPr="00ED520A">
        <w:rPr>
          <w:sz w:val="22"/>
        </w:rPr>
        <w:t>de la mission</w:t>
      </w:r>
      <w:r>
        <w:rPr>
          <w:sz w:val="22"/>
        </w:rPr>
        <w:t xml:space="preserve"> (</w:t>
      </w:r>
      <w:proofErr w:type="spellStart"/>
      <w:r>
        <w:rPr>
          <w:sz w:val="22"/>
        </w:rPr>
        <w:t>Opé</w:t>
      </w:r>
      <w:proofErr w:type="spellEnd"/>
      <w:r>
        <w:rPr>
          <w:sz w:val="22"/>
        </w:rPr>
        <w:t xml:space="preserve">, RH, </w:t>
      </w:r>
      <w:proofErr w:type="gramStart"/>
      <w:r>
        <w:rPr>
          <w:sz w:val="22"/>
        </w:rPr>
        <w:t>Lo</w:t>
      </w:r>
      <w:r w:rsidR="00487922">
        <w:rPr>
          <w:sz w:val="22"/>
        </w:rPr>
        <w:t>g.</w:t>
      </w:r>
      <w:r>
        <w:rPr>
          <w:sz w:val="22"/>
        </w:rPr>
        <w:t>..</w:t>
      </w:r>
      <w:proofErr w:type="gramEnd"/>
      <w:r>
        <w:rPr>
          <w:sz w:val="22"/>
        </w:rPr>
        <w:t>)</w:t>
      </w:r>
    </w:p>
    <w:p w14:paraId="4DC69336" w14:textId="77777777" w:rsidR="001A19CD" w:rsidRPr="000F2D09" w:rsidRDefault="001A19CD" w:rsidP="00F449EE">
      <w:pPr>
        <w:spacing w:after="0"/>
        <w:jc w:val="both"/>
        <w:rPr>
          <w:rFonts w:cstheme="minorHAnsi"/>
        </w:rPr>
      </w:pPr>
    </w:p>
    <w:p w14:paraId="14E52F68" w14:textId="5B9FBA87" w:rsidR="00487922" w:rsidRPr="00487922" w:rsidRDefault="00487922" w:rsidP="00487922">
      <w:pPr>
        <w:tabs>
          <w:tab w:val="left" w:pos="284"/>
        </w:tabs>
        <w:spacing w:after="0"/>
        <w:jc w:val="both"/>
        <w:rPr>
          <w:rFonts w:cstheme="minorHAnsi"/>
          <w:b/>
          <w:bCs/>
          <w:color w:val="000000"/>
        </w:rPr>
      </w:pPr>
      <w:r w:rsidRPr="00487922">
        <w:rPr>
          <w:rFonts w:cstheme="minorHAnsi"/>
          <w:b/>
          <w:bCs/>
          <w:color w:val="000000"/>
        </w:rPr>
        <w:t>Confidentialité :</w:t>
      </w:r>
    </w:p>
    <w:p w14:paraId="375872F6" w14:textId="5556DF6E" w:rsidR="00487922" w:rsidRPr="00487922" w:rsidRDefault="00487922" w:rsidP="00487922">
      <w:pPr>
        <w:spacing w:after="0"/>
        <w:jc w:val="both"/>
        <w:rPr>
          <w:rFonts w:cstheme="minorHAnsi"/>
        </w:rPr>
      </w:pPr>
      <w:r w:rsidRPr="00487922">
        <w:rPr>
          <w:rFonts w:cstheme="minorHAnsi"/>
        </w:rPr>
        <w:t xml:space="preserve">Le consultant ou la consultante respectera la confidentialité de ses activités, et n’utilisera ni à son avantage, ni à celui d’autres personnes, ni pendant la durée de </w:t>
      </w:r>
      <w:r>
        <w:rPr>
          <w:rFonts w:cstheme="minorHAnsi"/>
        </w:rPr>
        <w:t>son c</w:t>
      </w:r>
      <w:r w:rsidRPr="00487922">
        <w:rPr>
          <w:rFonts w:cstheme="minorHAnsi"/>
        </w:rPr>
        <w:t xml:space="preserve">ontrat ni après, les faits ou informations révélés par sa mission de prestataire. Il / elle s’engage pendant la durée </w:t>
      </w:r>
      <w:r>
        <w:rPr>
          <w:rFonts w:cstheme="minorHAnsi"/>
        </w:rPr>
        <w:t>de ce c</w:t>
      </w:r>
      <w:r w:rsidRPr="00487922">
        <w:rPr>
          <w:rFonts w:cstheme="minorHAnsi"/>
        </w:rPr>
        <w:t>ontrat et après à ne pas publier, distribuer ou rendre publics, sans l’autorisation préalable, expresse et écrite de HI, les résultats de ses activités dans le cadre de ce Contrat, ou les documents ou informations fournies, produites et reçues, qui resteront propriété de HI.</w:t>
      </w:r>
    </w:p>
    <w:p w14:paraId="573F1A76" w14:textId="77777777" w:rsidR="00487922" w:rsidRPr="00487922" w:rsidRDefault="00487922" w:rsidP="00487922">
      <w:pPr>
        <w:spacing w:after="0"/>
        <w:jc w:val="both"/>
        <w:rPr>
          <w:rFonts w:cstheme="minorHAnsi"/>
        </w:rPr>
      </w:pPr>
    </w:p>
    <w:p w14:paraId="0FC29C4E" w14:textId="00C673DA" w:rsidR="00487922" w:rsidRPr="00576524" w:rsidRDefault="00487922" w:rsidP="00487922">
      <w:pPr>
        <w:tabs>
          <w:tab w:val="left" w:pos="284"/>
        </w:tabs>
        <w:spacing w:after="0" w:line="240" w:lineRule="auto"/>
        <w:jc w:val="both"/>
        <w:rPr>
          <w:rFonts w:cstheme="minorHAnsi"/>
          <w:b/>
          <w:bCs/>
          <w:color w:val="000000"/>
        </w:rPr>
      </w:pPr>
      <w:r w:rsidRPr="00576524">
        <w:rPr>
          <w:rFonts w:cstheme="minorHAnsi"/>
          <w:b/>
          <w:bCs/>
          <w:color w:val="000000"/>
        </w:rPr>
        <w:t>Modalités de soumission des candidatures</w:t>
      </w:r>
    </w:p>
    <w:p w14:paraId="37F31715" w14:textId="77777777" w:rsidR="00487922" w:rsidRPr="00576524" w:rsidRDefault="00487922" w:rsidP="00487922">
      <w:pPr>
        <w:tabs>
          <w:tab w:val="left" w:pos="284"/>
        </w:tabs>
        <w:spacing w:after="0" w:line="240" w:lineRule="auto"/>
        <w:jc w:val="both"/>
        <w:rPr>
          <w:rFonts w:cstheme="minorHAnsi"/>
          <w:color w:val="000000"/>
        </w:rPr>
      </w:pPr>
    </w:p>
    <w:p w14:paraId="03C943B2" w14:textId="5E16BF1F" w:rsidR="00487922" w:rsidRPr="00576524" w:rsidRDefault="00487922" w:rsidP="00487922">
      <w:pPr>
        <w:tabs>
          <w:tab w:val="left" w:pos="284"/>
        </w:tabs>
        <w:spacing w:after="0" w:line="240" w:lineRule="auto"/>
        <w:jc w:val="both"/>
        <w:rPr>
          <w:rFonts w:cstheme="minorHAnsi"/>
        </w:rPr>
      </w:pPr>
      <w:r w:rsidRPr="00576524">
        <w:rPr>
          <w:rFonts w:cstheme="minorHAnsi"/>
        </w:rPr>
        <w:t xml:space="preserve">Les candidatures sont reçues jusqu’au </w:t>
      </w:r>
      <w:r w:rsidR="00140550">
        <w:rPr>
          <w:rFonts w:cstheme="minorHAnsi"/>
          <w:b/>
          <w:bCs/>
          <w:color w:val="FF0000"/>
        </w:rPr>
        <w:t>11</w:t>
      </w:r>
      <w:r w:rsidR="00A94BF5">
        <w:rPr>
          <w:rFonts w:cstheme="minorHAnsi"/>
          <w:b/>
          <w:bCs/>
          <w:color w:val="FF0000"/>
        </w:rPr>
        <w:t xml:space="preserve"> Janvier</w:t>
      </w:r>
      <w:r w:rsidRPr="00576524">
        <w:rPr>
          <w:rFonts w:cstheme="minorHAnsi"/>
          <w:b/>
          <w:bCs/>
          <w:color w:val="FF0000"/>
        </w:rPr>
        <w:t xml:space="preserve"> 202</w:t>
      </w:r>
      <w:r w:rsidR="00A94BF5">
        <w:rPr>
          <w:rFonts w:cstheme="minorHAnsi"/>
          <w:b/>
          <w:bCs/>
          <w:color w:val="FF0000"/>
        </w:rPr>
        <w:t>3</w:t>
      </w:r>
      <w:r w:rsidRPr="00576524">
        <w:rPr>
          <w:rFonts w:cstheme="minorHAnsi"/>
          <w:b/>
          <w:bCs/>
          <w:color w:val="FF0000"/>
        </w:rPr>
        <w:t xml:space="preserve"> à </w:t>
      </w:r>
      <w:r w:rsidR="00A94BF5">
        <w:rPr>
          <w:rFonts w:cstheme="minorHAnsi"/>
          <w:b/>
          <w:bCs/>
          <w:color w:val="FF0000"/>
        </w:rPr>
        <w:t>1</w:t>
      </w:r>
      <w:r w:rsidR="00140550">
        <w:rPr>
          <w:rFonts w:cstheme="minorHAnsi"/>
          <w:b/>
          <w:bCs/>
          <w:color w:val="FF0000"/>
        </w:rPr>
        <w:t>7</w:t>
      </w:r>
      <w:r w:rsidR="00A94BF5">
        <w:rPr>
          <w:rFonts w:cstheme="minorHAnsi"/>
          <w:b/>
          <w:bCs/>
          <w:color w:val="FF0000"/>
        </w:rPr>
        <w:t xml:space="preserve"> </w:t>
      </w:r>
      <w:proofErr w:type="spellStart"/>
      <w:r w:rsidR="00A94BF5">
        <w:rPr>
          <w:rFonts w:cstheme="minorHAnsi"/>
          <w:b/>
          <w:bCs/>
          <w:color w:val="FF0000"/>
        </w:rPr>
        <w:t>pm</w:t>
      </w:r>
      <w:proofErr w:type="spellEnd"/>
      <w:r w:rsidR="00A94BF5" w:rsidRPr="00576524">
        <w:rPr>
          <w:rFonts w:cstheme="minorHAnsi"/>
          <w:b/>
          <w:bCs/>
          <w:color w:val="FF0000"/>
        </w:rPr>
        <w:t xml:space="preserve"> </w:t>
      </w:r>
      <w:r w:rsidRPr="00576524">
        <w:rPr>
          <w:rFonts w:cstheme="minorHAnsi"/>
          <w:b/>
          <w:bCs/>
          <w:color w:val="FF0000"/>
        </w:rPr>
        <w:t>TU, délai de rigueur</w:t>
      </w:r>
      <w:r w:rsidRPr="00576524">
        <w:rPr>
          <w:rFonts w:cstheme="minorHAnsi"/>
        </w:rPr>
        <w:t>.</w:t>
      </w:r>
    </w:p>
    <w:p w14:paraId="5B36A694" w14:textId="77777777" w:rsidR="00487922" w:rsidRPr="00576524" w:rsidRDefault="00487922" w:rsidP="00487922">
      <w:pPr>
        <w:tabs>
          <w:tab w:val="left" w:pos="284"/>
        </w:tabs>
        <w:spacing w:after="0" w:line="240" w:lineRule="auto"/>
        <w:jc w:val="both"/>
        <w:rPr>
          <w:rFonts w:cstheme="minorHAnsi"/>
        </w:rPr>
      </w:pPr>
    </w:p>
    <w:p w14:paraId="5AA16E54" w14:textId="08F662F4" w:rsidR="00487922" w:rsidRPr="00576524" w:rsidRDefault="00487922" w:rsidP="00487922">
      <w:pPr>
        <w:tabs>
          <w:tab w:val="left" w:pos="284"/>
        </w:tabs>
        <w:spacing w:after="0" w:line="240" w:lineRule="auto"/>
        <w:jc w:val="both"/>
        <w:rPr>
          <w:rFonts w:cstheme="minorHAnsi"/>
        </w:rPr>
      </w:pPr>
      <w:r w:rsidRPr="00576524">
        <w:rPr>
          <w:rFonts w:cstheme="minorHAnsi"/>
        </w:rPr>
        <w:t xml:space="preserve">Elles doivent être envoyées à l’adresse </w:t>
      </w:r>
      <w:hyperlink r:id="rId10" w:history="1">
        <w:r w:rsidRPr="00576524">
          <w:rPr>
            <w:rStyle w:val="Lienhypertexte"/>
            <w:rFonts w:cstheme="minorHAnsi"/>
          </w:rPr>
          <w:t>achats@burkinafaso.hi.org</w:t>
        </w:r>
      </w:hyperlink>
      <w:r w:rsidRPr="00576524">
        <w:rPr>
          <w:rFonts w:cstheme="minorHAnsi"/>
        </w:rPr>
        <w:t xml:space="preserve"> en mentionnant en objet la référence : </w:t>
      </w:r>
      <w:r w:rsidRPr="00576524">
        <w:rPr>
          <w:rFonts w:cstheme="minorHAnsi"/>
          <w:color w:val="000000" w:themeColor="text1"/>
        </w:rPr>
        <w:t xml:space="preserve"> “CONSULTANCE </w:t>
      </w:r>
      <w:r w:rsidR="00576524" w:rsidRPr="00576524">
        <w:rPr>
          <w:rFonts w:cstheme="minorHAnsi"/>
          <w:color w:val="000000" w:themeColor="text1"/>
        </w:rPr>
        <w:t>TECHNIQUE SECURITE ALIMENTAIRE</w:t>
      </w:r>
      <w:r w:rsidRPr="00576524">
        <w:rPr>
          <w:rFonts w:cstheme="minorHAnsi"/>
          <w:color w:val="000000" w:themeColor="text1"/>
        </w:rPr>
        <w:t xml:space="preserve"> BURKINA FASO</w:t>
      </w:r>
      <w:r w:rsidR="00576524" w:rsidRPr="00576524">
        <w:rPr>
          <w:rFonts w:cstheme="minorHAnsi"/>
        </w:rPr>
        <w:t xml:space="preserve"> &amp; NIGER</w:t>
      </w:r>
      <w:r w:rsidRPr="00576524">
        <w:rPr>
          <w:rFonts w:cstheme="minorHAnsi"/>
        </w:rPr>
        <w:t>“.</w:t>
      </w:r>
    </w:p>
    <w:p w14:paraId="7E12824D" w14:textId="77777777" w:rsidR="00487922" w:rsidRPr="00576524" w:rsidRDefault="00487922" w:rsidP="00487922">
      <w:pPr>
        <w:tabs>
          <w:tab w:val="left" w:pos="284"/>
        </w:tabs>
        <w:spacing w:after="0" w:line="240" w:lineRule="auto"/>
        <w:jc w:val="both"/>
        <w:rPr>
          <w:rFonts w:cstheme="minorHAnsi"/>
        </w:rPr>
      </w:pPr>
    </w:p>
    <w:p w14:paraId="271DB27E" w14:textId="77777777" w:rsidR="00487922" w:rsidRPr="00576524" w:rsidRDefault="00487922" w:rsidP="00487922">
      <w:pPr>
        <w:tabs>
          <w:tab w:val="left" w:pos="284"/>
        </w:tabs>
        <w:spacing w:after="0" w:line="240" w:lineRule="auto"/>
        <w:jc w:val="both"/>
        <w:rPr>
          <w:rFonts w:cstheme="minorHAnsi"/>
          <w:color w:val="000000"/>
        </w:rPr>
      </w:pPr>
      <w:r w:rsidRPr="00576524">
        <w:rPr>
          <w:rFonts w:cstheme="minorHAnsi"/>
          <w:color w:val="000000"/>
        </w:rPr>
        <w:t>Le dossier de candidature devra comprendre :</w:t>
      </w:r>
    </w:p>
    <w:p w14:paraId="3955629E" w14:textId="7C808D37" w:rsidR="00487922" w:rsidRPr="00576524" w:rsidRDefault="00487922">
      <w:pPr>
        <w:pStyle w:val="Paragraphedeliste"/>
        <w:numPr>
          <w:ilvl w:val="0"/>
          <w:numId w:val="9"/>
        </w:numPr>
        <w:spacing w:after="0" w:line="240" w:lineRule="auto"/>
        <w:jc w:val="both"/>
        <w:rPr>
          <w:rFonts w:cstheme="minorHAnsi"/>
        </w:rPr>
      </w:pPr>
      <w:r w:rsidRPr="00576524">
        <w:rPr>
          <w:rFonts w:cstheme="minorHAnsi"/>
        </w:rPr>
        <w:t>Une note méthodologique ;</w:t>
      </w:r>
    </w:p>
    <w:p w14:paraId="6AB66CFE" w14:textId="614839D1" w:rsidR="00576524" w:rsidRPr="00576524" w:rsidRDefault="00576524">
      <w:pPr>
        <w:pStyle w:val="Paragraphedeliste"/>
        <w:numPr>
          <w:ilvl w:val="0"/>
          <w:numId w:val="9"/>
        </w:numPr>
        <w:spacing w:after="0" w:line="240" w:lineRule="auto"/>
        <w:jc w:val="both"/>
        <w:rPr>
          <w:rFonts w:cstheme="minorHAnsi"/>
        </w:rPr>
      </w:pPr>
      <w:r w:rsidRPr="00576524">
        <w:rPr>
          <w:rFonts w:cstheme="minorHAnsi"/>
        </w:rPr>
        <w:t>Une proposition de plan de travail ;</w:t>
      </w:r>
    </w:p>
    <w:p w14:paraId="1BB50EE2" w14:textId="77777777" w:rsidR="00487922" w:rsidRPr="00576524" w:rsidRDefault="00487922">
      <w:pPr>
        <w:pStyle w:val="Paragraphedeliste"/>
        <w:numPr>
          <w:ilvl w:val="0"/>
          <w:numId w:val="11"/>
        </w:numPr>
        <w:spacing w:after="0" w:line="240" w:lineRule="auto"/>
        <w:jc w:val="both"/>
        <w:rPr>
          <w:rFonts w:cstheme="minorHAnsi"/>
        </w:rPr>
      </w:pPr>
      <w:r w:rsidRPr="00576524">
        <w:rPr>
          <w:rFonts w:cstheme="minorHAnsi"/>
        </w:rPr>
        <w:t>Un budget détaillé avec et sans taxes ;</w:t>
      </w:r>
    </w:p>
    <w:p w14:paraId="0C08B285" w14:textId="77777777" w:rsidR="00487922" w:rsidRPr="00576524" w:rsidRDefault="00487922">
      <w:pPr>
        <w:pStyle w:val="Paragraphedeliste"/>
        <w:numPr>
          <w:ilvl w:val="0"/>
          <w:numId w:val="11"/>
        </w:numPr>
        <w:spacing w:after="0" w:line="240" w:lineRule="auto"/>
        <w:jc w:val="both"/>
        <w:rPr>
          <w:rFonts w:cstheme="minorHAnsi"/>
        </w:rPr>
      </w:pPr>
      <w:r w:rsidRPr="00576524">
        <w:rPr>
          <w:rFonts w:cstheme="minorHAnsi"/>
        </w:rPr>
        <w:t>Un CV du ou de la consultante et/ou de l’équipe avec laquelle il ou elle va travailler ;</w:t>
      </w:r>
    </w:p>
    <w:p w14:paraId="44B5578E" w14:textId="77777777" w:rsidR="00487922" w:rsidRPr="00576524" w:rsidRDefault="00487922">
      <w:pPr>
        <w:pStyle w:val="Paragraphedeliste"/>
        <w:numPr>
          <w:ilvl w:val="0"/>
          <w:numId w:val="11"/>
        </w:numPr>
        <w:spacing w:after="0" w:line="240" w:lineRule="auto"/>
        <w:jc w:val="both"/>
        <w:rPr>
          <w:rFonts w:cstheme="minorHAnsi"/>
        </w:rPr>
      </w:pPr>
      <w:r w:rsidRPr="00576524">
        <w:rPr>
          <w:rFonts w:cstheme="minorHAnsi"/>
        </w:rPr>
        <w:t>Le contact de 3 personnes de référence pouvant attester de la réalisation d’un travail similaire.</w:t>
      </w:r>
    </w:p>
    <w:p w14:paraId="7BECC81C" w14:textId="1DF58F2A" w:rsidR="00487922" w:rsidRDefault="00487922" w:rsidP="00487922">
      <w:pPr>
        <w:tabs>
          <w:tab w:val="left" w:pos="284"/>
        </w:tabs>
        <w:spacing w:after="0" w:line="240" w:lineRule="auto"/>
        <w:jc w:val="both"/>
        <w:rPr>
          <w:rFonts w:cstheme="minorHAnsi"/>
          <w:color w:val="000000"/>
        </w:rPr>
      </w:pPr>
    </w:p>
    <w:p w14:paraId="1AB4B433" w14:textId="77777777" w:rsidR="00A94BF5" w:rsidRDefault="00A94BF5" w:rsidP="00576524">
      <w:pPr>
        <w:tabs>
          <w:tab w:val="left" w:pos="284"/>
        </w:tabs>
        <w:spacing w:after="0" w:line="240" w:lineRule="auto"/>
        <w:jc w:val="both"/>
        <w:rPr>
          <w:rFonts w:cstheme="minorHAnsi"/>
          <w:b/>
          <w:bCs/>
          <w:color w:val="000000"/>
        </w:rPr>
      </w:pPr>
    </w:p>
    <w:p w14:paraId="45C5DF18" w14:textId="2C38D0F3" w:rsidR="00487922" w:rsidRPr="00576524" w:rsidRDefault="00487922" w:rsidP="00576524">
      <w:pPr>
        <w:tabs>
          <w:tab w:val="left" w:pos="284"/>
        </w:tabs>
        <w:spacing w:after="0" w:line="240" w:lineRule="auto"/>
        <w:jc w:val="both"/>
        <w:rPr>
          <w:rFonts w:cstheme="minorHAnsi"/>
          <w:b/>
          <w:bCs/>
          <w:color w:val="000000"/>
        </w:rPr>
      </w:pPr>
      <w:r w:rsidRPr="00576524">
        <w:rPr>
          <w:rFonts w:cstheme="minorHAnsi"/>
          <w:b/>
          <w:bCs/>
          <w:color w:val="000000"/>
        </w:rPr>
        <w:t>Processus de sélection du ou de la consultant</w:t>
      </w:r>
      <w:r w:rsidR="00576524">
        <w:rPr>
          <w:rFonts w:cstheme="minorHAnsi"/>
          <w:b/>
          <w:bCs/>
          <w:color w:val="000000"/>
        </w:rPr>
        <w:t>e</w:t>
      </w:r>
    </w:p>
    <w:p w14:paraId="215FB11B" w14:textId="77777777" w:rsidR="00487922" w:rsidRPr="00576524" w:rsidRDefault="00487922">
      <w:pPr>
        <w:pStyle w:val="Paragraphedeliste"/>
        <w:numPr>
          <w:ilvl w:val="1"/>
          <w:numId w:val="10"/>
        </w:numPr>
        <w:tabs>
          <w:tab w:val="left" w:pos="284"/>
        </w:tabs>
        <w:spacing w:after="0" w:line="240" w:lineRule="auto"/>
        <w:jc w:val="both"/>
        <w:rPr>
          <w:rFonts w:cstheme="minorHAnsi"/>
          <w:b/>
          <w:bCs/>
          <w:color w:val="000000"/>
        </w:rPr>
      </w:pPr>
      <w:r w:rsidRPr="00576524">
        <w:rPr>
          <w:rFonts w:cstheme="minorHAnsi"/>
          <w:b/>
          <w:bCs/>
          <w:color w:val="000000"/>
        </w:rPr>
        <w:t>Critères administratifs (éliminatoires)</w:t>
      </w:r>
    </w:p>
    <w:p w14:paraId="6F1A1007" w14:textId="77777777" w:rsidR="00487922" w:rsidRPr="00576524" w:rsidRDefault="00487922" w:rsidP="00487922">
      <w:pPr>
        <w:tabs>
          <w:tab w:val="left" w:pos="284"/>
        </w:tabs>
        <w:spacing w:after="0" w:line="240" w:lineRule="auto"/>
        <w:jc w:val="both"/>
        <w:rPr>
          <w:rFonts w:cstheme="minorHAnsi"/>
          <w:color w:val="000000"/>
        </w:rPr>
      </w:pPr>
      <w:r w:rsidRPr="00576524">
        <w:rPr>
          <w:rFonts w:cstheme="minorHAnsi"/>
          <w:color w:val="000000"/>
        </w:rPr>
        <w:t>•</w:t>
      </w:r>
      <w:r w:rsidRPr="00576524">
        <w:rPr>
          <w:rFonts w:cstheme="minorHAnsi"/>
          <w:color w:val="000000"/>
        </w:rPr>
        <w:tab/>
        <w:t>Documents légaux du prestataire dans son pays d’origine</w:t>
      </w:r>
    </w:p>
    <w:p w14:paraId="2F450D82" w14:textId="0069E376" w:rsidR="00140550" w:rsidRDefault="00140550">
      <w:pPr>
        <w:pStyle w:val="Paragraphedeliste"/>
        <w:numPr>
          <w:ilvl w:val="0"/>
          <w:numId w:val="13"/>
        </w:numPr>
        <w:tabs>
          <w:tab w:val="left" w:pos="284"/>
        </w:tabs>
        <w:spacing w:after="0" w:line="240" w:lineRule="auto"/>
        <w:jc w:val="both"/>
        <w:rPr>
          <w:rFonts w:cstheme="minorHAnsi"/>
          <w:color w:val="000000"/>
        </w:rPr>
      </w:pPr>
      <w:r>
        <w:rPr>
          <w:rFonts w:cstheme="minorHAnsi"/>
          <w:color w:val="000000"/>
        </w:rPr>
        <w:t xml:space="preserve">Une copie du registre de commerce et de crédit mobilier </w:t>
      </w:r>
    </w:p>
    <w:p w14:paraId="55E5D7B9" w14:textId="7996F515" w:rsidR="00487922" w:rsidRPr="00576524" w:rsidRDefault="00487922">
      <w:pPr>
        <w:pStyle w:val="Paragraphedeliste"/>
        <w:numPr>
          <w:ilvl w:val="0"/>
          <w:numId w:val="13"/>
        </w:numPr>
        <w:tabs>
          <w:tab w:val="left" w:pos="284"/>
        </w:tabs>
        <w:spacing w:after="0" w:line="240" w:lineRule="auto"/>
        <w:jc w:val="both"/>
        <w:rPr>
          <w:rFonts w:cstheme="minorHAnsi"/>
          <w:color w:val="000000"/>
        </w:rPr>
      </w:pPr>
      <w:r w:rsidRPr="00576524">
        <w:rPr>
          <w:rFonts w:cstheme="minorHAnsi"/>
          <w:color w:val="000000"/>
        </w:rPr>
        <w:t>Attestation de régularité fiscale</w:t>
      </w:r>
    </w:p>
    <w:p w14:paraId="6D91C5B9" w14:textId="2FE3912B" w:rsidR="00487922" w:rsidRDefault="00487922">
      <w:pPr>
        <w:pStyle w:val="Paragraphedeliste"/>
        <w:numPr>
          <w:ilvl w:val="0"/>
          <w:numId w:val="13"/>
        </w:numPr>
        <w:tabs>
          <w:tab w:val="left" w:pos="284"/>
        </w:tabs>
        <w:spacing w:after="0" w:line="240" w:lineRule="auto"/>
        <w:jc w:val="both"/>
        <w:rPr>
          <w:rFonts w:cstheme="minorHAnsi"/>
          <w:color w:val="000000"/>
        </w:rPr>
      </w:pPr>
      <w:r w:rsidRPr="00576524">
        <w:rPr>
          <w:rFonts w:cstheme="minorHAnsi"/>
          <w:color w:val="000000"/>
        </w:rPr>
        <w:t>Attestation de situation cotisante (Couverture sociale et retraite)</w:t>
      </w:r>
    </w:p>
    <w:p w14:paraId="4844ED38" w14:textId="7CC9F021" w:rsidR="00140550" w:rsidRPr="00140550" w:rsidRDefault="00140550" w:rsidP="00140550">
      <w:pPr>
        <w:tabs>
          <w:tab w:val="left" w:pos="284"/>
        </w:tabs>
        <w:spacing w:after="0" w:line="240" w:lineRule="auto"/>
        <w:ind w:left="360"/>
        <w:jc w:val="both"/>
        <w:rPr>
          <w:rFonts w:cstheme="minorHAnsi"/>
          <w:color w:val="000000"/>
        </w:rPr>
      </w:pPr>
    </w:p>
    <w:p w14:paraId="0F58CE49" w14:textId="2171CBAA" w:rsidR="00576524" w:rsidRDefault="00576524" w:rsidP="00576524">
      <w:pPr>
        <w:pStyle w:val="Paragraphedeliste"/>
        <w:tabs>
          <w:tab w:val="left" w:pos="284"/>
        </w:tabs>
        <w:spacing w:after="0" w:line="240" w:lineRule="auto"/>
        <w:jc w:val="both"/>
        <w:rPr>
          <w:rFonts w:cstheme="minorHAnsi"/>
          <w:color w:val="000000"/>
        </w:rPr>
      </w:pPr>
    </w:p>
    <w:p w14:paraId="259F0902" w14:textId="612959CE" w:rsidR="00A94BF5" w:rsidRDefault="00A94BF5" w:rsidP="00576524">
      <w:pPr>
        <w:pStyle w:val="Paragraphedeliste"/>
        <w:tabs>
          <w:tab w:val="left" w:pos="284"/>
        </w:tabs>
        <w:spacing w:after="0" w:line="240" w:lineRule="auto"/>
        <w:jc w:val="both"/>
        <w:rPr>
          <w:rFonts w:cstheme="minorHAnsi"/>
          <w:color w:val="000000"/>
        </w:rPr>
      </w:pPr>
    </w:p>
    <w:p w14:paraId="0A672A00" w14:textId="32C306A3" w:rsidR="00A94BF5" w:rsidRDefault="00A94BF5" w:rsidP="00576524">
      <w:pPr>
        <w:pStyle w:val="Paragraphedeliste"/>
        <w:tabs>
          <w:tab w:val="left" w:pos="284"/>
        </w:tabs>
        <w:spacing w:after="0" w:line="240" w:lineRule="auto"/>
        <w:jc w:val="both"/>
        <w:rPr>
          <w:rFonts w:cstheme="minorHAnsi"/>
          <w:color w:val="000000"/>
        </w:rPr>
      </w:pPr>
    </w:p>
    <w:p w14:paraId="7EE25D5F" w14:textId="77777777" w:rsidR="00A94BF5" w:rsidRPr="00576524" w:rsidRDefault="00A94BF5" w:rsidP="00576524">
      <w:pPr>
        <w:pStyle w:val="Paragraphedeliste"/>
        <w:tabs>
          <w:tab w:val="left" w:pos="284"/>
        </w:tabs>
        <w:spacing w:after="0" w:line="240" w:lineRule="auto"/>
        <w:jc w:val="both"/>
        <w:rPr>
          <w:rFonts w:cstheme="minorHAnsi"/>
          <w:color w:val="000000"/>
        </w:rPr>
      </w:pPr>
    </w:p>
    <w:p w14:paraId="2093C5E6" w14:textId="77777777" w:rsidR="00487922" w:rsidRPr="00576524" w:rsidRDefault="00487922" w:rsidP="00487922">
      <w:pPr>
        <w:tabs>
          <w:tab w:val="left" w:pos="284"/>
        </w:tabs>
        <w:spacing w:after="0" w:line="240" w:lineRule="auto"/>
        <w:jc w:val="both"/>
        <w:rPr>
          <w:rFonts w:cstheme="minorHAnsi"/>
          <w:color w:val="000000"/>
        </w:rPr>
      </w:pPr>
      <w:r w:rsidRPr="00576524">
        <w:rPr>
          <w:rFonts w:cstheme="minorHAnsi"/>
          <w:color w:val="000000"/>
        </w:rPr>
        <w:t>•</w:t>
      </w:r>
      <w:r w:rsidRPr="00576524">
        <w:rPr>
          <w:rFonts w:cstheme="minorHAnsi"/>
          <w:color w:val="000000"/>
        </w:rPr>
        <w:tab/>
        <w:t>Fiscalité</w:t>
      </w:r>
    </w:p>
    <w:p w14:paraId="601BC1A6" w14:textId="5CEE884E" w:rsidR="00487922" w:rsidRDefault="00487922" w:rsidP="00487922">
      <w:pPr>
        <w:tabs>
          <w:tab w:val="left" w:pos="284"/>
        </w:tabs>
        <w:spacing w:after="0" w:line="240" w:lineRule="auto"/>
        <w:jc w:val="both"/>
        <w:rPr>
          <w:rFonts w:cstheme="minorHAnsi"/>
          <w:color w:val="000000"/>
        </w:rPr>
      </w:pPr>
      <w:r w:rsidRPr="00576524">
        <w:rPr>
          <w:rFonts w:cstheme="minorHAnsi"/>
          <w:color w:val="000000"/>
        </w:rPr>
        <w:t>Une taxe de 16% est imposée aux prestations de service réalisées au Burkina Faso par des ressortissants hors CEDEAO.</w:t>
      </w:r>
    </w:p>
    <w:p w14:paraId="45F0049B" w14:textId="77777777" w:rsidR="00576524" w:rsidRPr="00576524" w:rsidRDefault="00576524" w:rsidP="00487922">
      <w:pPr>
        <w:tabs>
          <w:tab w:val="left" w:pos="284"/>
        </w:tabs>
        <w:spacing w:after="0" w:line="240" w:lineRule="auto"/>
        <w:jc w:val="both"/>
        <w:rPr>
          <w:rFonts w:cstheme="minorHAnsi"/>
          <w:color w:val="000000"/>
        </w:rPr>
      </w:pPr>
    </w:p>
    <w:p w14:paraId="06061CF5" w14:textId="77777777" w:rsidR="00487922" w:rsidRPr="00576524" w:rsidRDefault="00487922" w:rsidP="00487922">
      <w:pPr>
        <w:tabs>
          <w:tab w:val="left" w:pos="284"/>
        </w:tabs>
        <w:spacing w:after="0" w:line="240" w:lineRule="auto"/>
        <w:jc w:val="both"/>
        <w:rPr>
          <w:rFonts w:cstheme="minorHAnsi"/>
          <w:color w:val="000000"/>
        </w:rPr>
      </w:pPr>
      <w:r w:rsidRPr="00576524">
        <w:rPr>
          <w:rFonts w:cstheme="minorHAnsi"/>
          <w:color w:val="000000"/>
        </w:rPr>
        <w:t>•</w:t>
      </w:r>
      <w:r w:rsidRPr="00576524">
        <w:rPr>
          <w:rFonts w:cstheme="minorHAnsi"/>
          <w:color w:val="000000"/>
        </w:rPr>
        <w:tab/>
        <w:t>Document de références</w:t>
      </w:r>
    </w:p>
    <w:p w14:paraId="3391A6F7" w14:textId="23ED9A35" w:rsidR="00487922" w:rsidRDefault="00487922" w:rsidP="00487922">
      <w:pPr>
        <w:tabs>
          <w:tab w:val="left" w:pos="284"/>
        </w:tabs>
        <w:spacing w:after="0" w:line="240" w:lineRule="auto"/>
        <w:jc w:val="both"/>
        <w:rPr>
          <w:rFonts w:cstheme="minorHAnsi"/>
          <w:color w:val="000000"/>
        </w:rPr>
      </w:pPr>
      <w:r w:rsidRPr="00576524">
        <w:rPr>
          <w:rFonts w:cstheme="minorHAnsi"/>
          <w:color w:val="000000"/>
        </w:rPr>
        <w:t>Copie d’au moins trois marchés similaires (références) ;</w:t>
      </w:r>
    </w:p>
    <w:p w14:paraId="6D41AC4E" w14:textId="77777777" w:rsidR="00576524" w:rsidRPr="00576524" w:rsidRDefault="00576524" w:rsidP="00487922">
      <w:pPr>
        <w:tabs>
          <w:tab w:val="left" w:pos="284"/>
        </w:tabs>
        <w:spacing w:after="0" w:line="240" w:lineRule="auto"/>
        <w:jc w:val="both"/>
        <w:rPr>
          <w:rFonts w:cstheme="minorHAnsi"/>
          <w:color w:val="000000"/>
        </w:rPr>
      </w:pPr>
    </w:p>
    <w:p w14:paraId="31220AC8" w14:textId="77777777" w:rsidR="00576524" w:rsidRDefault="00487922" w:rsidP="00487922">
      <w:pPr>
        <w:tabs>
          <w:tab w:val="left" w:pos="284"/>
        </w:tabs>
        <w:spacing w:after="0" w:line="240" w:lineRule="auto"/>
        <w:jc w:val="both"/>
        <w:rPr>
          <w:rFonts w:cstheme="minorHAnsi"/>
          <w:color w:val="000000"/>
        </w:rPr>
      </w:pPr>
      <w:r w:rsidRPr="00576524">
        <w:rPr>
          <w:rFonts w:cstheme="minorHAnsi"/>
          <w:color w:val="000000"/>
        </w:rPr>
        <w:t>•</w:t>
      </w:r>
      <w:r w:rsidRPr="00576524">
        <w:rPr>
          <w:rFonts w:cstheme="minorHAnsi"/>
          <w:color w:val="000000"/>
        </w:rPr>
        <w:tab/>
        <w:t>Formulaires HI complétés et signés</w:t>
      </w:r>
    </w:p>
    <w:p w14:paraId="033C2CA9" w14:textId="77777777" w:rsidR="00576524" w:rsidRDefault="00487922">
      <w:pPr>
        <w:pStyle w:val="Paragraphedeliste"/>
        <w:numPr>
          <w:ilvl w:val="0"/>
          <w:numId w:val="14"/>
        </w:numPr>
        <w:tabs>
          <w:tab w:val="left" w:pos="284"/>
        </w:tabs>
        <w:spacing w:after="0" w:line="240" w:lineRule="auto"/>
        <w:jc w:val="both"/>
        <w:rPr>
          <w:rFonts w:cstheme="minorHAnsi"/>
          <w:color w:val="000000"/>
        </w:rPr>
      </w:pPr>
      <w:r w:rsidRPr="00576524">
        <w:rPr>
          <w:rFonts w:cstheme="minorHAnsi"/>
          <w:color w:val="000000"/>
        </w:rPr>
        <w:t>Formulaire d’identification du soumissionnaire</w:t>
      </w:r>
    </w:p>
    <w:p w14:paraId="12D067DB" w14:textId="77777777" w:rsidR="00576524" w:rsidRDefault="00487922">
      <w:pPr>
        <w:pStyle w:val="Paragraphedeliste"/>
        <w:numPr>
          <w:ilvl w:val="0"/>
          <w:numId w:val="14"/>
        </w:numPr>
        <w:tabs>
          <w:tab w:val="left" w:pos="284"/>
        </w:tabs>
        <w:spacing w:after="0" w:line="240" w:lineRule="auto"/>
        <w:jc w:val="both"/>
        <w:rPr>
          <w:rFonts w:cstheme="minorHAnsi"/>
          <w:color w:val="000000"/>
        </w:rPr>
      </w:pPr>
      <w:r w:rsidRPr="00576524">
        <w:rPr>
          <w:rFonts w:cstheme="minorHAnsi"/>
          <w:color w:val="000000"/>
        </w:rPr>
        <w:t>Formulaire de déclaration du fournisseur attestant du respect des standards éthiques.</w:t>
      </w:r>
    </w:p>
    <w:p w14:paraId="2E68822F" w14:textId="79A6E5F2" w:rsidR="00487922" w:rsidRPr="00576524" w:rsidRDefault="00487922">
      <w:pPr>
        <w:pStyle w:val="Paragraphedeliste"/>
        <w:numPr>
          <w:ilvl w:val="0"/>
          <w:numId w:val="14"/>
        </w:numPr>
        <w:tabs>
          <w:tab w:val="left" w:pos="284"/>
        </w:tabs>
        <w:spacing w:after="0" w:line="240" w:lineRule="auto"/>
        <w:jc w:val="both"/>
        <w:rPr>
          <w:rFonts w:cstheme="minorHAnsi"/>
          <w:color w:val="000000"/>
        </w:rPr>
      </w:pPr>
      <w:r w:rsidRPr="00576524">
        <w:rPr>
          <w:rFonts w:cstheme="minorHAnsi"/>
          <w:color w:val="000000"/>
        </w:rPr>
        <w:t>Formulaire de déclaration attestant que l’on ne se trouve par dans l’une des situations d’exclusion</w:t>
      </w:r>
    </w:p>
    <w:p w14:paraId="7A571C70" w14:textId="77777777" w:rsidR="00487922" w:rsidRPr="00576524" w:rsidRDefault="00487922" w:rsidP="00487922">
      <w:pPr>
        <w:tabs>
          <w:tab w:val="left" w:pos="284"/>
        </w:tabs>
        <w:spacing w:after="0" w:line="240" w:lineRule="auto"/>
        <w:jc w:val="both"/>
        <w:rPr>
          <w:rFonts w:cstheme="minorHAnsi"/>
          <w:color w:val="000000"/>
        </w:rPr>
      </w:pPr>
    </w:p>
    <w:p w14:paraId="7AEAECF2" w14:textId="028E96FC" w:rsidR="00487922" w:rsidRPr="00576524" w:rsidRDefault="00487922">
      <w:pPr>
        <w:pStyle w:val="Paragraphedeliste"/>
        <w:numPr>
          <w:ilvl w:val="1"/>
          <w:numId w:val="10"/>
        </w:numPr>
        <w:tabs>
          <w:tab w:val="left" w:pos="284"/>
        </w:tabs>
        <w:spacing w:after="0" w:line="240" w:lineRule="auto"/>
        <w:jc w:val="both"/>
        <w:rPr>
          <w:rFonts w:cstheme="minorHAnsi"/>
          <w:b/>
          <w:bCs/>
          <w:color w:val="000000"/>
        </w:rPr>
      </w:pPr>
      <w:r w:rsidRPr="00576524">
        <w:rPr>
          <w:rFonts w:cstheme="minorHAnsi"/>
          <w:b/>
          <w:bCs/>
          <w:color w:val="000000"/>
        </w:rPr>
        <w:t xml:space="preserve">Critères techniques : 70% </w:t>
      </w:r>
    </w:p>
    <w:p w14:paraId="2190EE49" w14:textId="77777777" w:rsidR="00487922" w:rsidRPr="00576524" w:rsidRDefault="00487922">
      <w:pPr>
        <w:pStyle w:val="Paragraphedeliste"/>
        <w:numPr>
          <w:ilvl w:val="0"/>
          <w:numId w:val="12"/>
        </w:numPr>
        <w:tabs>
          <w:tab w:val="left" w:pos="284"/>
        </w:tabs>
        <w:spacing w:after="0" w:line="240" w:lineRule="auto"/>
        <w:jc w:val="both"/>
        <w:rPr>
          <w:rFonts w:cstheme="minorHAnsi"/>
          <w:color w:val="000000"/>
        </w:rPr>
      </w:pPr>
      <w:r w:rsidRPr="00576524">
        <w:rPr>
          <w:rFonts w:cstheme="minorHAnsi"/>
          <w:color w:val="000000"/>
        </w:rPr>
        <w:t>CV</w:t>
      </w:r>
    </w:p>
    <w:p w14:paraId="53BD6777" w14:textId="77777777" w:rsidR="00576524" w:rsidRDefault="00487922">
      <w:pPr>
        <w:pStyle w:val="Paragraphedeliste"/>
        <w:numPr>
          <w:ilvl w:val="0"/>
          <w:numId w:val="15"/>
        </w:numPr>
        <w:tabs>
          <w:tab w:val="left" w:pos="284"/>
        </w:tabs>
        <w:spacing w:after="0" w:line="240" w:lineRule="auto"/>
        <w:jc w:val="both"/>
        <w:rPr>
          <w:rFonts w:cstheme="minorHAnsi"/>
          <w:color w:val="000000"/>
        </w:rPr>
      </w:pPr>
      <w:r w:rsidRPr="00576524">
        <w:rPr>
          <w:rFonts w:cstheme="minorHAnsi"/>
          <w:color w:val="000000"/>
        </w:rPr>
        <w:t>Expertise et expérience en évaluation et écriture de projets</w:t>
      </w:r>
    </w:p>
    <w:p w14:paraId="7988800A" w14:textId="77777777" w:rsidR="00576524" w:rsidRDefault="00487922">
      <w:pPr>
        <w:pStyle w:val="Paragraphedeliste"/>
        <w:numPr>
          <w:ilvl w:val="0"/>
          <w:numId w:val="15"/>
        </w:numPr>
        <w:tabs>
          <w:tab w:val="left" w:pos="284"/>
        </w:tabs>
        <w:spacing w:after="0" w:line="240" w:lineRule="auto"/>
        <w:jc w:val="both"/>
        <w:rPr>
          <w:rFonts w:cstheme="minorHAnsi"/>
          <w:color w:val="000000"/>
        </w:rPr>
      </w:pPr>
      <w:r w:rsidRPr="00576524">
        <w:rPr>
          <w:rFonts w:cstheme="minorHAnsi"/>
          <w:color w:val="000000"/>
        </w:rPr>
        <w:t>Expertise et expérience dans au moins une des thématiques concernées</w:t>
      </w:r>
    </w:p>
    <w:p w14:paraId="3084DB1E" w14:textId="77777777" w:rsidR="00576524" w:rsidRDefault="00487922">
      <w:pPr>
        <w:pStyle w:val="Paragraphedeliste"/>
        <w:numPr>
          <w:ilvl w:val="0"/>
          <w:numId w:val="15"/>
        </w:numPr>
        <w:tabs>
          <w:tab w:val="left" w:pos="284"/>
        </w:tabs>
        <w:spacing w:after="0" w:line="240" w:lineRule="auto"/>
        <w:jc w:val="both"/>
        <w:rPr>
          <w:rFonts w:cstheme="minorHAnsi"/>
          <w:color w:val="000000"/>
        </w:rPr>
      </w:pPr>
      <w:r w:rsidRPr="00576524">
        <w:rPr>
          <w:rFonts w:cstheme="minorHAnsi"/>
          <w:color w:val="000000"/>
        </w:rPr>
        <w:t>Expérience internationale (au Burkina Faso</w:t>
      </w:r>
      <w:r w:rsidR="00576524">
        <w:rPr>
          <w:rFonts w:cstheme="minorHAnsi"/>
          <w:color w:val="000000"/>
        </w:rPr>
        <w:t xml:space="preserve"> et/ou au Niger</w:t>
      </w:r>
      <w:r w:rsidRPr="00576524">
        <w:rPr>
          <w:rFonts w:cstheme="minorHAnsi"/>
          <w:color w:val="000000"/>
        </w:rPr>
        <w:t xml:space="preserve"> ou au Sahel)</w:t>
      </w:r>
    </w:p>
    <w:p w14:paraId="5FA85ADF" w14:textId="77777777" w:rsidR="00576524" w:rsidRDefault="00487922">
      <w:pPr>
        <w:pStyle w:val="Paragraphedeliste"/>
        <w:numPr>
          <w:ilvl w:val="0"/>
          <w:numId w:val="15"/>
        </w:numPr>
        <w:tabs>
          <w:tab w:val="left" w:pos="284"/>
        </w:tabs>
        <w:spacing w:after="0" w:line="240" w:lineRule="auto"/>
        <w:jc w:val="both"/>
        <w:rPr>
          <w:rFonts w:cstheme="minorHAnsi"/>
          <w:color w:val="000000"/>
        </w:rPr>
      </w:pPr>
      <w:r w:rsidRPr="00576524">
        <w:rPr>
          <w:rFonts w:cstheme="minorHAnsi"/>
          <w:color w:val="000000"/>
        </w:rPr>
        <w:t>Langues</w:t>
      </w:r>
    </w:p>
    <w:p w14:paraId="56A1BC6A" w14:textId="128455FC" w:rsidR="00487922" w:rsidRPr="00576524" w:rsidRDefault="00487922">
      <w:pPr>
        <w:pStyle w:val="Paragraphedeliste"/>
        <w:numPr>
          <w:ilvl w:val="0"/>
          <w:numId w:val="15"/>
        </w:numPr>
        <w:tabs>
          <w:tab w:val="left" w:pos="284"/>
        </w:tabs>
        <w:spacing w:after="0" w:line="240" w:lineRule="auto"/>
        <w:jc w:val="both"/>
        <w:rPr>
          <w:rFonts w:cstheme="minorHAnsi"/>
          <w:color w:val="000000"/>
        </w:rPr>
      </w:pPr>
      <w:r w:rsidRPr="00576524">
        <w:rPr>
          <w:rFonts w:cstheme="minorHAnsi"/>
          <w:color w:val="000000"/>
        </w:rPr>
        <w:t>Expériences spécifique</w:t>
      </w:r>
      <w:r w:rsidR="00576524">
        <w:rPr>
          <w:rFonts w:cstheme="minorHAnsi"/>
          <w:color w:val="000000"/>
        </w:rPr>
        <w:t>s</w:t>
      </w:r>
      <w:r w:rsidRPr="00576524">
        <w:rPr>
          <w:rFonts w:cstheme="minorHAnsi"/>
          <w:color w:val="000000"/>
        </w:rPr>
        <w:t xml:space="preserve"> et complémentaire</w:t>
      </w:r>
    </w:p>
    <w:p w14:paraId="15C60953" w14:textId="77777777" w:rsidR="00487922" w:rsidRPr="00576524" w:rsidRDefault="00487922" w:rsidP="00487922">
      <w:pPr>
        <w:tabs>
          <w:tab w:val="left" w:pos="284"/>
        </w:tabs>
        <w:spacing w:after="0" w:line="240" w:lineRule="auto"/>
        <w:jc w:val="both"/>
        <w:rPr>
          <w:rFonts w:cstheme="minorHAnsi"/>
          <w:color w:val="000000"/>
        </w:rPr>
      </w:pPr>
    </w:p>
    <w:p w14:paraId="69606E52" w14:textId="77777777" w:rsidR="00487922" w:rsidRPr="00576524" w:rsidRDefault="00487922">
      <w:pPr>
        <w:pStyle w:val="Paragraphedeliste"/>
        <w:numPr>
          <w:ilvl w:val="0"/>
          <w:numId w:val="12"/>
        </w:numPr>
        <w:tabs>
          <w:tab w:val="left" w:pos="284"/>
        </w:tabs>
        <w:spacing w:after="0" w:line="240" w:lineRule="auto"/>
        <w:jc w:val="both"/>
        <w:rPr>
          <w:rFonts w:cstheme="minorHAnsi"/>
          <w:color w:val="000000"/>
        </w:rPr>
      </w:pPr>
      <w:r w:rsidRPr="00576524">
        <w:rPr>
          <w:rFonts w:cstheme="minorHAnsi"/>
          <w:color w:val="000000"/>
        </w:rPr>
        <w:t>Compréhension TDR</w:t>
      </w:r>
    </w:p>
    <w:p w14:paraId="33753055" w14:textId="660DCB59" w:rsidR="00487922" w:rsidRPr="00576524" w:rsidRDefault="00576524" w:rsidP="00487922">
      <w:pPr>
        <w:tabs>
          <w:tab w:val="left" w:pos="284"/>
        </w:tabs>
        <w:spacing w:after="0" w:line="240" w:lineRule="auto"/>
        <w:jc w:val="both"/>
        <w:rPr>
          <w:rFonts w:cstheme="minorHAnsi"/>
          <w:i/>
          <w:iCs/>
          <w:color w:val="000000"/>
        </w:rPr>
      </w:pPr>
      <w:r>
        <w:rPr>
          <w:rFonts w:cstheme="minorHAnsi"/>
          <w:i/>
          <w:iCs/>
          <w:color w:val="000000"/>
        </w:rPr>
        <w:tab/>
      </w:r>
      <w:r>
        <w:rPr>
          <w:rFonts w:cstheme="minorHAnsi"/>
          <w:i/>
          <w:iCs/>
          <w:color w:val="000000"/>
        </w:rPr>
        <w:tab/>
      </w:r>
      <w:r w:rsidR="00487922" w:rsidRPr="00576524">
        <w:rPr>
          <w:rFonts w:cstheme="minorHAnsi"/>
          <w:i/>
          <w:iCs/>
          <w:color w:val="000000"/>
        </w:rPr>
        <w:t>Appropriation du contexte général de l'évaluation</w:t>
      </w:r>
    </w:p>
    <w:p w14:paraId="6EF61E86" w14:textId="77777777" w:rsidR="00576524" w:rsidRDefault="00487922">
      <w:pPr>
        <w:pStyle w:val="Paragraphedeliste"/>
        <w:numPr>
          <w:ilvl w:val="0"/>
          <w:numId w:val="16"/>
        </w:numPr>
        <w:tabs>
          <w:tab w:val="left" w:pos="284"/>
        </w:tabs>
        <w:spacing w:after="0" w:line="240" w:lineRule="auto"/>
        <w:jc w:val="both"/>
        <w:rPr>
          <w:rFonts w:cstheme="minorHAnsi"/>
          <w:color w:val="000000"/>
        </w:rPr>
      </w:pPr>
      <w:r w:rsidRPr="00576524">
        <w:rPr>
          <w:rFonts w:cstheme="minorHAnsi"/>
          <w:color w:val="000000"/>
        </w:rPr>
        <w:t>Compréhension et analyse du contexte du projet et de son évaluation</w:t>
      </w:r>
    </w:p>
    <w:p w14:paraId="7A27DE27" w14:textId="4E5005AA" w:rsidR="00487922" w:rsidRPr="00576524" w:rsidRDefault="00487922">
      <w:pPr>
        <w:pStyle w:val="Paragraphedeliste"/>
        <w:numPr>
          <w:ilvl w:val="0"/>
          <w:numId w:val="16"/>
        </w:numPr>
        <w:tabs>
          <w:tab w:val="left" w:pos="284"/>
        </w:tabs>
        <w:spacing w:after="0" w:line="240" w:lineRule="auto"/>
        <w:jc w:val="both"/>
        <w:rPr>
          <w:rFonts w:cstheme="minorHAnsi"/>
          <w:color w:val="000000"/>
        </w:rPr>
      </w:pPr>
      <w:r w:rsidRPr="00576524">
        <w:rPr>
          <w:rFonts w:cstheme="minorHAnsi"/>
          <w:color w:val="000000"/>
        </w:rPr>
        <w:t>Compréhension et analyse des objectifs et enjeux de l'évaluation</w:t>
      </w:r>
    </w:p>
    <w:p w14:paraId="6682712E" w14:textId="77777777" w:rsidR="00487922" w:rsidRPr="00576524" w:rsidRDefault="00487922" w:rsidP="00487922">
      <w:pPr>
        <w:tabs>
          <w:tab w:val="left" w:pos="284"/>
        </w:tabs>
        <w:spacing w:after="0" w:line="240" w:lineRule="auto"/>
        <w:jc w:val="both"/>
        <w:rPr>
          <w:rFonts w:cstheme="minorHAnsi"/>
          <w:color w:val="000000"/>
        </w:rPr>
      </w:pPr>
    </w:p>
    <w:p w14:paraId="353CEB05" w14:textId="4D06E37B" w:rsidR="00487922" w:rsidRPr="00576524" w:rsidRDefault="00576524" w:rsidP="00487922">
      <w:pPr>
        <w:tabs>
          <w:tab w:val="left" w:pos="284"/>
        </w:tabs>
        <w:spacing w:after="0" w:line="240" w:lineRule="auto"/>
        <w:jc w:val="both"/>
        <w:rPr>
          <w:rFonts w:cstheme="minorHAnsi"/>
          <w:i/>
          <w:iCs/>
          <w:color w:val="000000"/>
        </w:rPr>
      </w:pPr>
      <w:r>
        <w:rPr>
          <w:rFonts w:cstheme="minorHAnsi"/>
          <w:i/>
          <w:iCs/>
          <w:color w:val="000000"/>
        </w:rPr>
        <w:tab/>
      </w:r>
      <w:r>
        <w:rPr>
          <w:rFonts w:cstheme="minorHAnsi"/>
          <w:i/>
          <w:iCs/>
          <w:color w:val="000000"/>
        </w:rPr>
        <w:tab/>
      </w:r>
      <w:r w:rsidR="00487922" w:rsidRPr="00576524">
        <w:rPr>
          <w:rFonts w:cstheme="minorHAnsi"/>
          <w:i/>
          <w:iCs/>
          <w:color w:val="000000"/>
        </w:rPr>
        <w:t>Questionnement évaluatif</w:t>
      </w:r>
    </w:p>
    <w:p w14:paraId="47949B1E" w14:textId="77777777" w:rsidR="00576524" w:rsidRDefault="00487922">
      <w:pPr>
        <w:pStyle w:val="Paragraphedeliste"/>
        <w:numPr>
          <w:ilvl w:val="0"/>
          <w:numId w:val="17"/>
        </w:numPr>
        <w:tabs>
          <w:tab w:val="left" w:pos="284"/>
        </w:tabs>
        <w:spacing w:after="0" w:line="240" w:lineRule="auto"/>
        <w:jc w:val="both"/>
        <w:rPr>
          <w:rFonts w:cstheme="minorHAnsi"/>
          <w:color w:val="000000"/>
        </w:rPr>
      </w:pPr>
      <w:r w:rsidRPr="00576524">
        <w:rPr>
          <w:rFonts w:cstheme="minorHAnsi"/>
          <w:color w:val="000000"/>
        </w:rPr>
        <w:t>Compréhension et interprétation des questions évaluatives</w:t>
      </w:r>
    </w:p>
    <w:p w14:paraId="0F9031AA" w14:textId="4EC06FFA" w:rsidR="00487922" w:rsidRPr="00576524" w:rsidRDefault="00487922">
      <w:pPr>
        <w:pStyle w:val="Paragraphedeliste"/>
        <w:numPr>
          <w:ilvl w:val="0"/>
          <w:numId w:val="17"/>
        </w:numPr>
        <w:tabs>
          <w:tab w:val="left" w:pos="284"/>
        </w:tabs>
        <w:spacing w:after="0" w:line="240" w:lineRule="auto"/>
        <w:jc w:val="both"/>
        <w:rPr>
          <w:rFonts w:cstheme="minorHAnsi"/>
          <w:color w:val="000000"/>
        </w:rPr>
      </w:pPr>
      <w:r w:rsidRPr="00576524">
        <w:rPr>
          <w:rFonts w:cstheme="minorHAnsi"/>
          <w:color w:val="000000"/>
        </w:rPr>
        <w:t>Apport de l'offre</w:t>
      </w:r>
    </w:p>
    <w:p w14:paraId="29CDF298" w14:textId="77777777" w:rsidR="00487922" w:rsidRPr="00576524" w:rsidRDefault="00487922" w:rsidP="00487922">
      <w:pPr>
        <w:tabs>
          <w:tab w:val="left" w:pos="284"/>
        </w:tabs>
        <w:spacing w:after="0" w:line="240" w:lineRule="auto"/>
        <w:jc w:val="both"/>
        <w:rPr>
          <w:rFonts w:cstheme="minorHAnsi"/>
          <w:color w:val="000000"/>
        </w:rPr>
      </w:pPr>
    </w:p>
    <w:p w14:paraId="5CE06EA9" w14:textId="77777777" w:rsidR="00487922" w:rsidRPr="00576524" w:rsidRDefault="00487922">
      <w:pPr>
        <w:pStyle w:val="Paragraphedeliste"/>
        <w:numPr>
          <w:ilvl w:val="0"/>
          <w:numId w:val="12"/>
        </w:numPr>
        <w:tabs>
          <w:tab w:val="left" w:pos="284"/>
        </w:tabs>
        <w:spacing w:after="0" w:line="240" w:lineRule="auto"/>
        <w:jc w:val="both"/>
        <w:rPr>
          <w:rFonts w:cstheme="minorHAnsi"/>
          <w:color w:val="000000"/>
        </w:rPr>
      </w:pPr>
      <w:r w:rsidRPr="00576524">
        <w:rPr>
          <w:rFonts w:cstheme="minorHAnsi"/>
          <w:color w:val="000000"/>
        </w:rPr>
        <w:t>Méthodologie proposée</w:t>
      </w:r>
    </w:p>
    <w:p w14:paraId="29022123" w14:textId="1318AA08" w:rsidR="00487922" w:rsidRPr="00576524" w:rsidRDefault="00576524" w:rsidP="00487922">
      <w:pPr>
        <w:tabs>
          <w:tab w:val="left" w:pos="284"/>
        </w:tabs>
        <w:spacing w:after="0" w:line="240" w:lineRule="auto"/>
        <w:jc w:val="both"/>
        <w:rPr>
          <w:rFonts w:cstheme="minorHAnsi"/>
          <w:i/>
          <w:iCs/>
          <w:color w:val="000000"/>
        </w:rPr>
      </w:pPr>
      <w:r>
        <w:rPr>
          <w:rFonts w:cstheme="minorHAnsi"/>
          <w:i/>
          <w:iCs/>
          <w:color w:val="000000"/>
        </w:rPr>
        <w:tab/>
      </w:r>
      <w:r>
        <w:rPr>
          <w:rFonts w:cstheme="minorHAnsi"/>
          <w:i/>
          <w:iCs/>
          <w:color w:val="000000"/>
        </w:rPr>
        <w:tab/>
      </w:r>
      <w:r w:rsidR="00487922" w:rsidRPr="00576524">
        <w:rPr>
          <w:rFonts w:cstheme="minorHAnsi"/>
          <w:i/>
          <w:iCs/>
          <w:color w:val="000000"/>
        </w:rPr>
        <w:t>Processus</w:t>
      </w:r>
    </w:p>
    <w:p w14:paraId="2FFF1F2F" w14:textId="77777777" w:rsidR="00576524" w:rsidRDefault="00487922">
      <w:pPr>
        <w:pStyle w:val="Paragraphedeliste"/>
        <w:numPr>
          <w:ilvl w:val="0"/>
          <w:numId w:val="18"/>
        </w:numPr>
        <w:tabs>
          <w:tab w:val="left" w:pos="284"/>
        </w:tabs>
        <w:spacing w:after="0" w:line="240" w:lineRule="auto"/>
        <w:jc w:val="both"/>
        <w:rPr>
          <w:rFonts w:cstheme="minorHAnsi"/>
          <w:color w:val="000000"/>
        </w:rPr>
      </w:pPr>
      <w:r w:rsidRPr="00576524">
        <w:rPr>
          <w:rFonts w:cstheme="minorHAnsi"/>
          <w:color w:val="000000"/>
        </w:rPr>
        <w:t>Etapes claires et structurées</w:t>
      </w:r>
    </w:p>
    <w:p w14:paraId="0295EE0C" w14:textId="09161A64" w:rsidR="00487922" w:rsidRPr="00576524" w:rsidRDefault="00487922">
      <w:pPr>
        <w:pStyle w:val="Paragraphedeliste"/>
        <w:numPr>
          <w:ilvl w:val="0"/>
          <w:numId w:val="18"/>
        </w:numPr>
        <w:tabs>
          <w:tab w:val="left" w:pos="284"/>
        </w:tabs>
        <w:spacing w:after="0" w:line="240" w:lineRule="auto"/>
        <w:jc w:val="both"/>
        <w:rPr>
          <w:rFonts w:cstheme="minorHAnsi"/>
          <w:color w:val="000000"/>
        </w:rPr>
      </w:pPr>
      <w:r w:rsidRPr="00576524">
        <w:rPr>
          <w:rFonts w:cstheme="minorHAnsi"/>
          <w:color w:val="000000"/>
        </w:rPr>
        <w:t>Prise en compte des étapes d'appropriation, d'analyse et de rédaction</w:t>
      </w:r>
    </w:p>
    <w:p w14:paraId="4CDA0618" w14:textId="77777777" w:rsidR="00487922" w:rsidRPr="00576524" w:rsidRDefault="00487922" w:rsidP="00487922">
      <w:pPr>
        <w:tabs>
          <w:tab w:val="left" w:pos="284"/>
        </w:tabs>
        <w:spacing w:after="0" w:line="240" w:lineRule="auto"/>
        <w:jc w:val="both"/>
        <w:rPr>
          <w:rFonts w:cstheme="minorHAnsi"/>
          <w:color w:val="000000"/>
        </w:rPr>
      </w:pPr>
    </w:p>
    <w:p w14:paraId="6328A85A" w14:textId="0C2CB372" w:rsidR="00487922" w:rsidRPr="00576524" w:rsidRDefault="00576524" w:rsidP="00487922">
      <w:pPr>
        <w:tabs>
          <w:tab w:val="left" w:pos="284"/>
        </w:tabs>
        <w:spacing w:after="0" w:line="240" w:lineRule="auto"/>
        <w:jc w:val="both"/>
        <w:rPr>
          <w:rFonts w:cstheme="minorHAnsi"/>
          <w:i/>
          <w:iCs/>
          <w:color w:val="000000"/>
        </w:rPr>
      </w:pPr>
      <w:r>
        <w:rPr>
          <w:rFonts w:cstheme="minorHAnsi"/>
          <w:i/>
          <w:iCs/>
          <w:color w:val="000000"/>
        </w:rPr>
        <w:tab/>
      </w:r>
      <w:r>
        <w:rPr>
          <w:rFonts w:cstheme="minorHAnsi"/>
          <w:i/>
          <w:iCs/>
          <w:color w:val="000000"/>
        </w:rPr>
        <w:tab/>
      </w:r>
      <w:r w:rsidR="00487922" w:rsidRPr="00576524">
        <w:rPr>
          <w:rFonts w:cstheme="minorHAnsi"/>
          <w:i/>
          <w:iCs/>
          <w:color w:val="000000"/>
        </w:rPr>
        <w:t>Outils</w:t>
      </w:r>
    </w:p>
    <w:p w14:paraId="7749532F" w14:textId="77777777" w:rsidR="00576524" w:rsidRDefault="00487922">
      <w:pPr>
        <w:pStyle w:val="Paragraphedeliste"/>
        <w:numPr>
          <w:ilvl w:val="0"/>
          <w:numId w:val="19"/>
        </w:numPr>
        <w:tabs>
          <w:tab w:val="left" w:pos="284"/>
        </w:tabs>
        <w:spacing w:after="0" w:line="240" w:lineRule="auto"/>
        <w:jc w:val="both"/>
        <w:rPr>
          <w:rFonts w:cstheme="minorHAnsi"/>
          <w:color w:val="000000"/>
        </w:rPr>
      </w:pPr>
      <w:r w:rsidRPr="00576524">
        <w:rPr>
          <w:rFonts w:cstheme="minorHAnsi"/>
          <w:color w:val="000000"/>
        </w:rPr>
        <w:t>Pertinence des outils proposés</w:t>
      </w:r>
    </w:p>
    <w:p w14:paraId="1A992F6B" w14:textId="77777777" w:rsidR="00576524" w:rsidRDefault="00487922">
      <w:pPr>
        <w:pStyle w:val="Paragraphedeliste"/>
        <w:numPr>
          <w:ilvl w:val="0"/>
          <w:numId w:val="19"/>
        </w:numPr>
        <w:tabs>
          <w:tab w:val="left" w:pos="284"/>
        </w:tabs>
        <w:spacing w:after="0" w:line="240" w:lineRule="auto"/>
        <w:jc w:val="both"/>
        <w:rPr>
          <w:rFonts w:cstheme="minorHAnsi"/>
          <w:color w:val="000000"/>
        </w:rPr>
      </w:pPr>
      <w:r w:rsidRPr="00576524">
        <w:rPr>
          <w:rFonts w:cstheme="minorHAnsi"/>
          <w:color w:val="000000"/>
        </w:rPr>
        <w:t>Justification des choix opérés</w:t>
      </w:r>
    </w:p>
    <w:p w14:paraId="380389D0" w14:textId="77777777" w:rsidR="00576524" w:rsidRDefault="00487922">
      <w:pPr>
        <w:pStyle w:val="Paragraphedeliste"/>
        <w:numPr>
          <w:ilvl w:val="0"/>
          <w:numId w:val="19"/>
        </w:numPr>
        <w:tabs>
          <w:tab w:val="left" w:pos="284"/>
        </w:tabs>
        <w:spacing w:after="0" w:line="240" w:lineRule="auto"/>
        <w:jc w:val="both"/>
        <w:rPr>
          <w:rFonts w:cstheme="minorHAnsi"/>
          <w:color w:val="000000"/>
        </w:rPr>
      </w:pPr>
      <w:r w:rsidRPr="00576524">
        <w:rPr>
          <w:rFonts w:cstheme="minorHAnsi"/>
          <w:color w:val="000000"/>
        </w:rPr>
        <w:t>Prise en compte des limites de la méthodologie</w:t>
      </w:r>
    </w:p>
    <w:p w14:paraId="54549911" w14:textId="2D552F47" w:rsidR="00487922" w:rsidRPr="00576524" w:rsidRDefault="00487922">
      <w:pPr>
        <w:pStyle w:val="Paragraphedeliste"/>
        <w:numPr>
          <w:ilvl w:val="0"/>
          <w:numId w:val="19"/>
        </w:numPr>
        <w:tabs>
          <w:tab w:val="left" w:pos="284"/>
        </w:tabs>
        <w:spacing w:after="0" w:line="240" w:lineRule="auto"/>
        <w:jc w:val="both"/>
        <w:rPr>
          <w:rFonts w:cstheme="minorHAnsi"/>
          <w:color w:val="000000"/>
        </w:rPr>
      </w:pPr>
      <w:r w:rsidRPr="00576524">
        <w:rPr>
          <w:rFonts w:cstheme="minorHAnsi"/>
          <w:color w:val="000000"/>
        </w:rPr>
        <w:t>Prise en compte de la dimension genre/handicap/âge</w:t>
      </w:r>
    </w:p>
    <w:p w14:paraId="4C8111F1" w14:textId="77777777" w:rsidR="00487922" w:rsidRPr="00576524" w:rsidRDefault="00487922" w:rsidP="00487922">
      <w:pPr>
        <w:tabs>
          <w:tab w:val="left" w:pos="284"/>
        </w:tabs>
        <w:spacing w:after="0" w:line="240" w:lineRule="auto"/>
        <w:jc w:val="both"/>
        <w:rPr>
          <w:rFonts w:cstheme="minorHAnsi"/>
          <w:color w:val="000000"/>
        </w:rPr>
      </w:pPr>
    </w:p>
    <w:p w14:paraId="0E9A328E" w14:textId="58A31C76" w:rsidR="00487922" w:rsidRPr="00576524" w:rsidRDefault="00576524" w:rsidP="00487922">
      <w:pPr>
        <w:tabs>
          <w:tab w:val="left" w:pos="284"/>
        </w:tabs>
        <w:spacing w:after="0" w:line="240" w:lineRule="auto"/>
        <w:jc w:val="both"/>
        <w:rPr>
          <w:rFonts w:cstheme="minorHAnsi"/>
          <w:color w:val="000000"/>
        </w:rPr>
      </w:pPr>
      <w:r>
        <w:rPr>
          <w:rFonts w:cstheme="minorHAnsi"/>
          <w:color w:val="000000"/>
        </w:rPr>
        <w:tab/>
      </w:r>
      <w:r w:rsidR="00487922" w:rsidRPr="00576524">
        <w:rPr>
          <w:rFonts w:cstheme="minorHAnsi"/>
          <w:color w:val="000000"/>
        </w:rPr>
        <w:t>d) Relation commanditaire /point focal</w:t>
      </w:r>
    </w:p>
    <w:p w14:paraId="2074848D" w14:textId="77777777" w:rsidR="00576524" w:rsidRDefault="00487922">
      <w:pPr>
        <w:pStyle w:val="Paragraphedeliste"/>
        <w:numPr>
          <w:ilvl w:val="0"/>
          <w:numId w:val="20"/>
        </w:numPr>
        <w:tabs>
          <w:tab w:val="left" w:pos="284"/>
        </w:tabs>
        <w:spacing w:after="0" w:line="240" w:lineRule="auto"/>
        <w:jc w:val="both"/>
        <w:rPr>
          <w:rFonts w:cstheme="minorHAnsi"/>
          <w:color w:val="000000"/>
        </w:rPr>
      </w:pPr>
      <w:r w:rsidRPr="00576524">
        <w:rPr>
          <w:rFonts w:cstheme="minorHAnsi"/>
          <w:color w:val="000000"/>
        </w:rPr>
        <w:t>Respect de la démarche souhaitée dans les TDR</w:t>
      </w:r>
    </w:p>
    <w:p w14:paraId="0E5AB9B3" w14:textId="77777777" w:rsidR="00576524" w:rsidRDefault="00487922">
      <w:pPr>
        <w:pStyle w:val="Paragraphedeliste"/>
        <w:numPr>
          <w:ilvl w:val="0"/>
          <w:numId w:val="20"/>
        </w:numPr>
        <w:tabs>
          <w:tab w:val="left" w:pos="284"/>
        </w:tabs>
        <w:spacing w:after="0" w:line="240" w:lineRule="auto"/>
        <w:jc w:val="both"/>
        <w:rPr>
          <w:rFonts w:cstheme="minorHAnsi"/>
          <w:color w:val="000000"/>
        </w:rPr>
      </w:pPr>
      <w:r w:rsidRPr="00576524">
        <w:rPr>
          <w:rFonts w:cstheme="minorHAnsi"/>
          <w:color w:val="000000"/>
        </w:rPr>
        <w:t>Nombre de réunions/restitutions</w:t>
      </w:r>
    </w:p>
    <w:p w14:paraId="296147E1" w14:textId="4992C65E" w:rsidR="00487922" w:rsidRPr="00576524" w:rsidRDefault="00576524">
      <w:pPr>
        <w:pStyle w:val="Paragraphedeliste"/>
        <w:numPr>
          <w:ilvl w:val="0"/>
          <w:numId w:val="20"/>
        </w:numPr>
        <w:tabs>
          <w:tab w:val="left" w:pos="284"/>
        </w:tabs>
        <w:spacing w:after="0" w:line="240" w:lineRule="auto"/>
        <w:jc w:val="both"/>
        <w:rPr>
          <w:rFonts w:cstheme="minorHAnsi"/>
          <w:color w:val="000000"/>
        </w:rPr>
      </w:pPr>
      <w:r>
        <w:rPr>
          <w:rFonts w:cstheme="minorHAnsi"/>
          <w:color w:val="000000"/>
        </w:rPr>
        <w:t>A</w:t>
      </w:r>
      <w:r w:rsidR="00487922" w:rsidRPr="00576524">
        <w:rPr>
          <w:rFonts w:cstheme="minorHAnsi"/>
          <w:color w:val="000000"/>
        </w:rPr>
        <w:t>pproche participative (notamment pour la formulation des recommandations, voire des conclusions)</w:t>
      </w:r>
    </w:p>
    <w:p w14:paraId="70802CDD" w14:textId="77777777" w:rsidR="00576524" w:rsidRDefault="00576524" w:rsidP="00487922">
      <w:pPr>
        <w:tabs>
          <w:tab w:val="left" w:pos="284"/>
        </w:tabs>
        <w:spacing w:after="0" w:line="240" w:lineRule="auto"/>
        <w:jc w:val="both"/>
        <w:rPr>
          <w:rFonts w:cstheme="minorHAnsi"/>
          <w:color w:val="000000"/>
        </w:rPr>
      </w:pPr>
    </w:p>
    <w:p w14:paraId="28407AE7" w14:textId="0045FE3E" w:rsidR="00487922" w:rsidRPr="00576524" w:rsidRDefault="00576524" w:rsidP="00487922">
      <w:pPr>
        <w:tabs>
          <w:tab w:val="left" w:pos="284"/>
        </w:tabs>
        <w:spacing w:after="0" w:line="240" w:lineRule="auto"/>
        <w:jc w:val="both"/>
        <w:rPr>
          <w:rFonts w:cstheme="minorHAnsi"/>
          <w:color w:val="000000"/>
        </w:rPr>
      </w:pPr>
      <w:r>
        <w:rPr>
          <w:rFonts w:cstheme="minorHAnsi"/>
          <w:color w:val="000000"/>
        </w:rPr>
        <w:tab/>
      </w:r>
      <w:r w:rsidR="00487922" w:rsidRPr="00576524">
        <w:rPr>
          <w:rFonts w:cstheme="minorHAnsi"/>
          <w:color w:val="000000"/>
        </w:rPr>
        <w:t>e) Livrables</w:t>
      </w:r>
    </w:p>
    <w:p w14:paraId="078C6D41" w14:textId="77777777" w:rsidR="00576524" w:rsidRDefault="00487922">
      <w:pPr>
        <w:pStyle w:val="Paragraphedeliste"/>
        <w:numPr>
          <w:ilvl w:val="0"/>
          <w:numId w:val="21"/>
        </w:numPr>
        <w:tabs>
          <w:tab w:val="left" w:pos="284"/>
        </w:tabs>
        <w:spacing w:after="0" w:line="240" w:lineRule="auto"/>
        <w:jc w:val="both"/>
        <w:rPr>
          <w:rFonts w:cstheme="minorHAnsi"/>
          <w:color w:val="000000"/>
        </w:rPr>
      </w:pPr>
      <w:r w:rsidRPr="00576524">
        <w:rPr>
          <w:rFonts w:cstheme="minorHAnsi"/>
          <w:color w:val="000000"/>
        </w:rPr>
        <w:t>Respect des TDR</w:t>
      </w:r>
    </w:p>
    <w:p w14:paraId="3E62B013" w14:textId="49241026" w:rsidR="00487922" w:rsidRPr="00576524" w:rsidRDefault="00487922">
      <w:pPr>
        <w:pStyle w:val="Paragraphedeliste"/>
        <w:numPr>
          <w:ilvl w:val="0"/>
          <w:numId w:val="21"/>
        </w:numPr>
        <w:tabs>
          <w:tab w:val="left" w:pos="284"/>
        </w:tabs>
        <w:spacing w:after="0" w:line="240" w:lineRule="auto"/>
        <w:jc w:val="both"/>
        <w:rPr>
          <w:rFonts w:cstheme="minorHAnsi"/>
          <w:color w:val="000000"/>
        </w:rPr>
      </w:pPr>
      <w:r w:rsidRPr="00576524">
        <w:rPr>
          <w:rFonts w:cstheme="minorHAnsi"/>
          <w:color w:val="000000"/>
        </w:rPr>
        <w:t>Apport de l'offre</w:t>
      </w:r>
    </w:p>
    <w:p w14:paraId="5B1AC020" w14:textId="77777777" w:rsidR="00A94BF5" w:rsidRPr="00576524" w:rsidRDefault="00A94BF5" w:rsidP="00487922">
      <w:pPr>
        <w:tabs>
          <w:tab w:val="left" w:pos="284"/>
        </w:tabs>
        <w:spacing w:after="0" w:line="240" w:lineRule="auto"/>
        <w:jc w:val="both"/>
        <w:rPr>
          <w:rFonts w:cstheme="minorHAnsi"/>
          <w:color w:val="000000"/>
        </w:rPr>
      </w:pPr>
    </w:p>
    <w:p w14:paraId="6D8F6F5B" w14:textId="31481C39" w:rsidR="00487922" w:rsidRPr="00576524" w:rsidRDefault="00576524" w:rsidP="00487922">
      <w:pPr>
        <w:tabs>
          <w:tab w:val="left" w:pos="284"/>
        </w:tabs>
        <w:spacing w:after="0" w:line="240" w:lineRule="auto"/>
        <w:jc w:val="both"/>
        <w:rPr>
          <w:rFonts w:cstheme="minorHAnsi"/>
          <w:color w:val="000000"/>
        </w:rPr>
      </w:pPr>
      <w:r>
        <w:rPr>
          <w:rFonts w:cstheme="minorHAnsi"/>
          <w:color w:val="000000"/>
        </w:rPr>
        <w:lastRenderedPageBreak/>
        <w:tab/>
      </w:r>
      <w:r w:rsidR="00487922" w:rsidRPr="00576524">
        <w:rPr>
          <w:rFonts w:cstheme="minorHAnsi"/>
          <w:color w:val="000000"/>
        </w:rPr>
        <w:t>f) Calendrier</w:t>
      </w:r>
    </w:p>
    <w:p w14:paraId="60B9D7F9" w14:textId="77777777" w:rsidR="00576524" w:rsidRDefault="00487922">
      <w:pPr>
        <w:pStyle w:val="Paragraphedeliste"/>
        <w:numPr>
          <w:ilvl w:val="0"/>
          <w:numId w:val="22"/>
        </w:numPr>
        <w:tabs>
          <w:tab w:val="left" w:pos="284"/>
        </w:tabs>
        <w:spacing w:after="0" w:line="240" w:lineRule="auto"/>
        <w:jc w:val="both"/>
        <w:rPr>
          <w:rFonts w:cstheme="minorHAnsi"/>
          <w:color w:val="000000"/>
        </w:rPr>
      </w:pPr>
      <w:r w:rsidRPr="00576524">
        <w:rPr>
          <w:rFonts w:cstheme="minorHAnsi"/>
          <w:color w:val="000000"/>
        </w:rPr>
        <w:t>Respect des TDR</w:t>
      </w:r>
    </w:p>
    <w:p w14:paraId="5B10FE81" w14:textId="77777777" w:rsidR="00576524" w:rsidRDefault="00487922">
      <w:pPr>
        <w:pStyle w:val="Paragraphedeliste"/>
        <w:numPr>
          <w:ilvl w:val="0"/>
          <w:numId w:val="22"/>
        </w:numPr>
        <w:tabs>
          <w:tab w:val="left" w:pos="284"/>
        </w:tabs>
        <w:spacing w:after="0" w:line="240" w:lineRule="auto"/>
        <w:jc w:val="both"/>
        <w:rPr>
          <w:rFonts w:cstheme="minorHAnsi"/>
          <w:color w:val="000000"/>
        </w:rPr>
      </w:pPr>
      <w:r w:rsidRPr="00576524">
        <w:rPr>
          <w:rFonts w:cstheme="minorHAnsi"/>
          <w:color w:val="000000"/>
        </w:rPr>
        <w:t>Disponibilité du ou de la consultante</w:t>
      </w:r>
    </w:p>
    <w:p w14:paraId="4435C0C4" w14:textId="77777777" w:rsidR="00576524" w:rsidRDefault="00487922">
      <w:pPr>
        <w:pStyle w:val="Paragraphedeliste"/>
        <w:numPr>
          <w:ilvl w:val="0"/>
          <w:numId w:val="22"/>
        </w:numPr>
        <w:tabs>
          <w:tab w:val="left" w:pos="284"/>
        </w:tabs>
        <w:spacing w:after="0" w:line="240" w:lineRule="auto"/>
        <w:jc w:val="both"/>
        <w:rPr>
          <w:rFonts w:cstheme="minorHAnsi"/>
          <w:color w:val="000000"/>
        </w:rPr>
      </w:pPr>
      <w:r w:rsidRPr="00576524">
        <w:rPr>
          <w:rFonts w:cstheme="minorHAnsi"/>
          <w:color w:val="000000"/>
        </w:rPr>
        <w:t>Faisabilité par rapport à la méthodologie proposée</w:t>
      </w:r>
    </w:p>
    <w:p w14:paraId="7F6B008E" w14:textId="172010EB" w:rsidR="00487922" w:rsidRPr="00576524" w:rsidRDefault="00487922">
      <w:pPr>
        <w:pStyle w:val="Paragraphedeliste"/>
        <w:numPr>
          <w:ilvl w:val="0"/>
          <w:numId w:val="22"/>
        </w:numPr>
        <w:tabs>
          <w:tab w:val="left" w:pos="284"/>
        </w:tabs>
        <w:spacing w:after="0" w:line="240" w:lineRule="auto"/>
        <w:jc w:val="both"/>
        <w:rPr>
          <w:rFonts w:cstheme="minorHAnsi"/>
          <w:color w:val="000000"/>
        </w:rPr>
      </w:pPr>
      <w:r w:rsidRPr="00576524">
        <w:rPr>
          <w:rFonts w:cstheme="minorHAnsi"/>
          <w:color w:val="000000"/>
        </w:rPr>
        <w:t>Niveau de précision suffisant</w:t>
      </w:r>
    </w:p>
    <w:p w14:paraId="47014DDB" w14:textId="40CBBEA8" w:rsidR="00487922" w:rsidRDefault="00487922" w:rsidP="00487922">
      <w:pPr>
        <w:tabs>
          <w:tab w:val="left" w:pos="284"/>
        </w:tabs>
        <w:spacing w:after="0" w:line="240" w:lineRule="auto"/>
        <w:jc w:val="both"/>
        <w:rPr>
          <w:rFonts w:cstheme="minorHAnsi"/>
          <w:color w:val="000000"/>
        </w:rPr>
      </w:pPr>
    </w:p>
    <w:p w14:paraId="635E00A8" w14:textId="284C0DC4" w:rsidR="001E476D" w:rsidRDefault="001E476D" w:rsidP="00487922">
      <w:pPr>
        <w:tabs>
          <w:tab w:val="left" w:pos="284"/>
        </w:tabs>
        <w:spacing w:after="0" w:line="240" w:lineRule="auto"/>
        <w:jc w:val="both"/>
        <w:rPr>
          <w:rFonts w:cstheme="minorHAnsi"/>
          <w:color w:val="000000"/>
        </w:rPr>
      </w:pPr>
    </w:p>
    <w:p w14:paraId="1814B795" w14:textId="77777777" w:rsidR="00487922" w:rsidRPr="00576524" w:rsidRDefault="00487922" w:rsidP="00487922">
      <w:pPr>
        <w:tabs>
          <w:tab w:val="left" w:pos="284"/>
        </w:tabs>
        <w:spacing w:after="0" w:line="240" w:lineRule="auto"/>
        <w:jc w:val="both"/>
        <w:rPr>
          <w:rFonts w:cstheme="minorHAnsi"/>
          <w:color w:val="000000"/>
        </w:rPr>
      </w:pPr>
    </w:p>
    <w:p w14:paraId="7A6E1445" w14:textId="77777777" w:rsidR="005614DD" w:rsidRDefault="00487922">
      <w:pPr>
        <w:pStyle w:val="Paragraphedeliste"/>
        <w:numPr>
          <w:ilvl w:val="1"/>
          <w:numId w:val="10"/>
        </w:numPr>
        <w:tabs>
          <w:tab w:val="left" w:pos="284"/>
        </w:tabs>
        <w:spacing w:after="0" w:line="240" w:lineRule="auto"/>
        <w:jc w:val="both"/>
        <w:rPr>
          <w:rFonts w:cstheme="minorHAnsi"/>
          <w:b/>
          <w:bCs/>
        </w:rPr>
      </w:pPr>
      <w:r w:rsidRPr="00576524">
        <w:rPr>
          <w:rFonts w:cstheme="minorHAnsi"/>
          <w:b/>
          <w:bCs/>
          <w:color w:val="000000"/>
        </w:rPr>
        <w:t xml:space="preserve">Critères financiers : 30% de la note </w:t>
      </w:r>
      <w:r w:rsidRPr="00576524">
        <w:rPr>
          <w:rFonts w:cstheme="minorHAnsi"/>
          <w:b/>
          <w:bCs/>
        </w:rPr>
        <w:t>Budget</w:t>
      </w:r>
    </w:p>
    <w:p w14:paraId="4165AEA2" w14:textId="77777777" w:rsidR="005614DD" w:rsidRPr="005614DD" w:rsidRDefault="00487922">
      <w:pPr>
        <w:pStyle w:val="Paragraphedeliste"/>
        <w:numPr>
          <w:ilvl w:val="0"/>
          <w:numId w:val="23"/>
        </w:numPr>
        <w:tabs>
          <w:tab w:val="left" w:pos="284"/>
        </w:tabs>
        <w:spacing w:after="0" w:line="240" w:lineRule="auto"/>
        <w:jc w:val="both"/>
        <w:rPr>
          <w:rFonts w:cstheme="minorHAnsi"/>
          <w:b/>
          <w:bCs/>
        </w:rPr>
      </w:pPr>
      <w:r w:rsidRPr="005614DD">
        <w:rPr>
          <w:rFonts w:cstheme="minorHAnsi"/>
        </w:rPr>
        <w:t>Cohérence avec la méthodologie proposée</w:t>
      </w:r>
    </w:p>
    <w:p w14:paraId="01131D4B" w14:textId="77777777" w:rsidR="005614DD" w:rsidRPr="005614DD" w:rsidRDefault="00487922">
      <w:pPr>
        <w:pStyle w:val="Paragraphedeliste"/>
        <w:numPr>
          <w:ilvl w:val="0"/>
          <w:numId w:val="23"/>
        </w:numPr>
        <w:tabs>
          <w:tab w:val="left" w:pos="284"/>
        </w:tabs>
        <w:spacing w:after="0" w:line="240" w:lineRule="auto"/>
        <w:jc w:val="both"/>
        <w:rPr>
          <w:rFonts w:cstheme="minorHAnsi"/>
          <w:b/>
          <w:bCs/>
        </w:rPr>
      </w:pPr>
      <w:r w:rsidRPr="005614DD">
        <w:rPr>
          <w:rFonts w:cstheme="minorHAnsi"/>
        </w:rPr>
        <w:t>Cohérence des coûts annexes par rapport au Burkina Faso</w:t>
      </w:r>
    </w:p>
    <w:p w14:paraId="2B577DCD" w14:textId="77777777" w:rsidR="005614DD" w:rsidRPr="005614DD" w:rsidRDefault="00487922">
      <w:pPr>
        <w:pStyle w:val="Paragraphedeliste"/>
        <w:numPr>
          <w:ilvl w:val="0"/>
          <w:numId w:val="23"/>
        </w:numPr>
        <w:tabs>
          <w:tab w:val="left" w:pos="284"/>
        </w:tabs>
        <w:spacing w:after="0" w:line="240" w:lineRule="auto"/>
        <w:jc w:val="both"/>
        <w:rPr>
          <w:rFonts w:cstheme="minorHAnsi"/>
          <w:b/>
          <w:bCs/>
        </w:rPr>
      </w:pPr>
      <w:r w:rsidRPr="005614DD">
        <w:rPr>
          <w:rFonts w:cstheme="minorHAnsi"/>
        </w:rPr>
        <w:t>Niveau de précision suffisant</w:t>
      </w:r>
    </w:p>
    <w:p w14:paraId="13A4D087" w14:textId="77777777" w:rsidR="005614DD" w:rsidRPr="005614DD" w:rsidRDefault="00487922">
      <w:pPr>
        <w:pStyle w:val="Paragraphedeliste"/>
        <w:numPr>
          <w:ilvl w:val="0"/>
          <w:numId w:val="23"/>
        </w:numPr>
        <w:tabs>
          <w:tab w:val="left" w:pos="284"/>
        </w:tabs>
        <w:spacing w:after="0" w:line="240" w:lineRule="auto"/>
        <w:jc w:val="both"/>
        <w:rPr>
          <w:rFonts w:cstheme="minorHAnsi"/>
          <w:b/>
          <w:bCs/>
        </w:rPr>
      </w:pPr>
      <w:r w:rsidRPr="005614DD">
        <w:rPr>
          <w:rFonts w:cstheme="minorHAnsi"/>
        </w:rPr>
        <w:t>Prise en compte des livrable</w:t>
      </w:r>
      <w:r w:rsidR="005614DD">
        <w:rPr>
          <w:rFonts w:cstheme="minorHAnsi"/>
        </w:rPr>
        <w:t>s</w:t>
      </w:r>
    </w:p>
    <w:p w14:paraId="51AAE775" w14:textId="1AA05335" w:rsidR="00487922" w:rsidRPr="005614DD" w:rsidRDefault="00487922">
      <w:pPr>
        <w:pStyle w:val="Paragraphedeliste"/>
        <w:numPr>
          <w:ilvl w:val="0"/>
          <w:numId w:val="23"/>
        </w:numPr>
        <w:tabs>
          <w:tab w:val="left" w:pos="284"/>
        </w:tabs>
        <w:spacing w:after="0" w:line="240" w:lineRule="auto"/>
        <w:jc w:val="both"/>
        <w:rPr>
          <w:rFonts w:cstheme="minorHAnsi"/>
          <w:b/>
          <w:bCs/>
        </w:rPr>
      </w:pPr>
      <w:r w:rsidRPr="005614DD">
        <w:rPr>
          <w:rFonts w:cstheme="minorHAnsi"/>
        </w:rPr>
        <w:t>Compétitivité de l’offre financière (rapport qualité/prix)</w:t>
      </w:r>
    </w:p>
    <w:p w14:paraId="25C10AB4" w14:textId="77777777" w:rsidR="005614DD" w:rsidRDefault="005614DD" w:rsidP="00487922">
      <w:pPr>
        <w:tabs>
          <w:tab w:val="left" w:pos="284"/>
        </w:tabs>
        <w:spacing w:after="0"/>
        <w:jc w:val="both"/>
        <w:rPr>
          <w:rFonts w:cstheme="minorHAnsi"/>
        </w:rPr>
      </w:pPr>
    </w:p>
    <w:p w14:paraId="247E47BA" w14:textId="34E08E54" w:rsidR="00487922" w:rsidRPr="00576524" w:rsidRDefault="00487922" w:rsidP="00487922">
      <w:pPr>
        <w:tabs>
          <w:tab w:val="left" w:pos="284"/>
        </w:tabs>
        <w:spacing w:after="0"/>
        <w:jc w:val="both"/>
        <w:rPr>
          <w:rFonts w:cstheme="minorHAnsi"/>
        </w:rPr>
      </w:pPr>
      <w:r w:rsidRPr="00576524">
        <w:rPr>
          <w:rFonts w:cstheme="minorHAnsi"/>
        </w:rPr>
        <w:t>Remise accordée : préciser la remise accordée sur l’offre globale,</w:t>
      </w:r>
    </w:p>
    <w:p w14:paraId="1B926458" w14:textId="77777777" w:rsidR="00487922" w:rsidRPr="00576524" w:rsidRDefault="00487922" w:rsidP="00487922">
      <w:pPr>
        <w:tabs>
          <w:tab w:val="left" w:pos="284"/>
        </w:tabs>
        <w:spacing w:after="0"/>
        <w:jc w:val="both"/>
        <w:rPr>
          <w:rFonts w:cstheme="minorHAnsi"/>
        </w:rPr>
      </w:pPr>
      <w:r w:rsidRPr="00576524">
        <w:rPr>
          <w:rFonts w:cstheme="minorHAnsi"/>
        </w:rPr>
        <w:t>Conditions de paiement : indiquer vos conditions de paiement (taux et fréquence de paiement, moyens de paiement)</w:t>
      </w:r>
    </w:p>
    <w:p w14:paraId="5A20392B" w14:textId="77777777" w:rsidR="00487922" w:rsidRPr="00576524" w:rsidRDefault="00487922" w:rsidP="00487922">
      <w:pPr>
        <w:tabs>
          <w:tab w:val="left" w:pos="284"/>
        </w:tabs>
        <w:spacing w:after="0"/>
        <w:jc w:val="both"/>
        <w:rPr>
          <w:rFonts w:cstheme="minorHAnsi"/>
        </w:rPr>
      </w:pPr>
      <w:r w:rsidRPr="00576524">
        <w:rPr>
          <w:rFonts w:cstheme="minorHAnsi"/>
        </w:rPr>
        <w:t>Validité de l’offre : préciser la durée sur laquelle votre offre reste valide (en mois).</w:t>
      </w:r>
    </w:p>
    <w:p w14:paraId="213DFF1D" w14:textId="77777777" w:rsidR="00487922" w:rsidRPr="0054459F" w:rsidRDefault="00487922" w:rsidP="00487922">
      <w:pPr>
        <w:tabs>
          <w:tab w:val="left" w:pos="284"/>
        </w:tabs>
        <w:spacing w:after="0"/>
        <w:jc w:val="both"/>
        <w:rPr>
          <w:rFonts w:ascii="Nunito" w:hAnsi="Nunito" w:cs="Arial"/>
          <w:sz w:val="24"/>
          <w:szCs w:val="24"/>
        </w:rPr>
      </w:pPr>
    </w:p>
    <w:p w14:paraId="6270C2DD" w14:textId="77777777" w:rsidR="00487922" w:rsidRPr="005614DD" w:rsidRDefault="00487922" w:rsidP="00487922">
      <w:pPr>
        <w:spacing w:after="0"/>
        <w:jc w:val="both"/>
        <w:rPr>
          <w:rFonts w:cstheme="minorHAnsi"/>
          <w:b/>
          <w:bCs/>
        </w:rPr>
      </w:pPr>
      <w:r w:rsidRPr="005614DD">
        <w:rPr>
          <w:rFonts w:cstheme="minorHAnsi"/>
          <w:b/>
          <w:bCs/>
        </w:rPr>
        <w:t>Note sur l’adhésion aux politiques HI </w:t>
      </w:r>
    </w:p>
    <w:p w14:paraId="1AF0957E" w14:textId="77777777" w:rsidR="00487922" w:rsidRPr="005614DD" w:rsidRDefault="00487922" w:rsidP="00487922">
      <w:pPr>
        <w:spacing w:after="0"/>
        <w:jc w:val="both"/>
        <w:rPr>
          <w:rFonts w:cstheme="minorHAnsi"/>
        </w:rPr>
      </w:pPr>
      <w:r w:rsidRPr="005614DD">
        <w:rPr>
          <w:rFonts w:cstheme="minorHAnsi"/>
        </w:rPr>
        <w:t xml:space="preserve">HI est une organisation qui adopte une position de Tolérance Zéro en matière d'exploitation, d'abus, de harcèlement et d'intimidation sexuels, de fraude et de corruption. Le ou La consultante sélectionnée devra s’engager à adhérer et respecter ses politiques qui sont disponibles sur ce lien : </w:t>
      </w:r>
      <w:hyperlink r:id="rId11">
        <w:r w:rsidRPr="005614DD">
          <w:rPr>
            <w:rStyle w:val="Lienhypertexte"/>
            <w:rFonts w:cstheme="minorHAnsi"/>
          </w:rPr>
          <w:t>https://hi.org/fr/politiques-institutionnelles</w:t>
        </w:r>
      </w:hyperlink>
      <w:r w:rsidRPr="005614DD">
        <w:rPr>
          <w:rFonts w:cstheme="minorHAnsi"/>
        </w:rPr>
        <w:t xml:space="preserve">. </w:t>
      </w:r>
    </w:p>
    <w:p w14:paraId="4E24FB75" w14:textId="77777777" w:rsidR="005614DD" w:rsidRDefault="005614DD" w:rsidP="00487922">
      <w:pPr>
        <w:spacing w:after="0"/>
        <w:jc w:val="both"/>
        <w:rPr>
          <w:rFonts w:cstheme="minorHAnsi"/>
          <w:iCs/>
        </w:rPr>
      </w:pPr>
    </w:p>
    <w:p w14:paraId="1AA3CA42" w14:textId="37623715" w:rsidR="00487922" w:rsidRPr="005614DD" w:rsidRDefault="00487922" w:rsidP="00487922">
      <w:pPr>
        <w:spacing w:after="0"/>
        <w:jc w:val="both"/>
        <w:rPr>
          <w:rFonts w:cstheme="minorHAnsi"/>
        </w:rPr>
      </w:pPr>
      <w:r w:rsidRPr="005614DD">
        <w:rPr>
          <w:rFonts w:cstheme="minorHAnsi"/>
          <w:iCs/>
        </w:rPr>
        <w:t xml:space="preserve">HI a également mis en place un mécanisme rigoureux, transparent et inclusif de remontée et gestion des plaintes. Tout signalement peut être adressé en toute confidentialité et sécurité à l’adresse de </w:t>
      </w:r>
      <w:hyperlink r:id="rId12" w:history="1">
        <w:r w:rsidRPr="005614DD">
          <w:rPr>
            <w:rStyle w:val="Lienhypertexte"/>
            <w:rFonts w:cstheme="minorHAnsi"/>
            <w:iCs/>
          </w:rPr>
          <w:t>plainte@burkina.hi.org</w:t>
        </w:r>
      </w:hyperlink>
      <w:r w:rsidR="005614DD">
        <w:rPr>
          <w:rFonts w:cstheme="minorHAnsi"/>
          <w:iCs/>
        </w:rPr>
        <w:t xml:space="preserve"> ou via le site web institutionnel </w:t>
      </w:r>
      <w:hyperlink r:id="rId13" w:history="1">
        <w:r w:rsidR="005614DD" w:rsidRPr="00D76DC8">
          <w:rPr>
            <w:rStyle w:val="Lienhypertexte"/>
            <w:rFonts w:cstheme="minorHAnsi"/>
            <w:iCs/>
          </w:rPr>
          <w:t>https://www.hi.org/fr/le-reseau-hi</w:t>
        </w:r>
      </w:hyperlink>
      <w:r w:rsidR="005614DD">
        <w:rPr>
          <w:rFonts w:cstheme="minorHAnsi"/>
          <w:iCs/>
        </w:rPr>
        <w:t xml:space="preserve"> onglet « nous alerter ».</w:t>
      </w:r>
    </w:p>
    <w:p w14:paraId="560A5C5A" w14:textId="3CA4E164" w:rsidR="00ED520A" w:rsidRDefault="00ED520A" w:rsidP="00F449EE">
      <w:pPr>
        <w:spacing w:after="0"/>
        <w:rPr>
          <w:rFonts w:cstheme="minorHAnsi"/>
        </w:rPr>
      </w:pPr>
    </w:p>
    <w:p w14:paraId="7FB72D8F" w14:textId="77777777" w:rsidR="00ED520A" w:rsidRPr="00ED520A" w:rsidRDefault="00ED520A" w:rsidP="00ED520A">
      <w:pPr>
        <w:rPr>
          <w:rFonts w:cstheme="minorHAnsi"/>
        </w:rPr>
      </w:pPr>
    </w:p>
    <w:p w14:paraId="261F9582" w14:textId="77777777" w:rsidR="00ED520A" w:rsidRPr="00ED520A" w:rsidRDefault="00ED520A" w:rsidP="00ED520A">
      <w:pPr>
        <w:rPr>
          <w:rFonts w:cstheme="minorHAnsi"/>
        </w:rPr>
      </w:pPr>
    </w:p>
    <w:p w14:paraId="28DB0E28" w14:textId="77777777" w:rsidR="00ED520A" w:rsidRPr="00ED520A" w:rsidRDefault="00ED520A" w:rsidP="00ED520A">
      <w:pPr>
        <w:rPr>
          <w:rFonts w:cstheme="minorHAnsi"/>
        </w:rPr>
      </w:pPr>
    </w:p>
    <w:p w14:paraId="7B0CF30E" w14:textId="5B4BE604" w:rsidR="00ED520A" w:rsidRPr="00ED520A" w:rsidRDefault="00A94BF5" w:rsidP="00A94BF5">
      <w:pPr>
        <w:tabs>
          <w:tab w:val="left" w:pos="6526"/>
          <w:tab w:val="left" w:pos="8913"/>
        </w:tabs>
        <w:rPr>
          <w:rFonts w:cstheme="minorHAnsi"/>
        </w:rPr>
      </w:pPr>
      <w:r>
        <w:rPr>
          <w:rFonts w:cstheme="minorHAnsi"/>
        </w:rPr>
        <w:tab/>
      </w:r>
      <w:r>
        <w:rPr>
          <w:rFonts w:cstheme="minorHAnsi"/>
        </w:rPr>
        <w:tab/>
      </w:r>
    </w:p>
    <w:p w14:paraId="2315F416" w14:textId="77777777" w:rsidR="00ED520A" w:rsidRPr="00ED520A" w:rsidRDefault="00ED520A" w:rsidP="00ED520A">
      <w:pPr>
        <w:rPr>
          <w:rFonts w:cstheme="minorHAnsi"/>
        </w:rPr>
      </w:pPr>
    </w:p>
    <w:p w14:paraId="1EAD12CF" w14:textId="77777777" w:rsidR="00ED520A" w:rsidRPr="00ED520A" w:rsidRDefault="00ED520A" w:rsidP="00ED520A">
      <w:pPr>
        <w:rPr>
          <w:rFonts w:cstheme="minorHAnsi"/>
        </w:rPr>
      </w:pPr>
    </w:p>
    <w:p w14:paraId="1C679964" w14:textId="5198B8D7" w:rsidR="001C6B50" w:rsidRPr="00ED520A" w:rsidRDefault="00ED520A" w:rsidP="00ED520A">
      <w:pPr>
        <w:tabs>
          <w:tab w:val="left" w:pos="1410"/>
        </w:tabs>
        <w:rPr>
          <w:rFonts w:cstheme="minorHAnsi"/>
        </w:rPr>
      </w:pPr>
      <w:r>
        <w:rPr>
          <w:rFonts w:cstheme="minorHAnsi"/>
        </w:rPr>
        <w:tab/>
      </w:r>
    </w:p>
    <w:sectPr w:rsidR="001C6B50" w:rsidRPr="00ED520A" w:rsidSect="00D637CD">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12131" w14:textId="77777777" w:rsidR="00CB4167" w:rsidRDefault="00CB4167" w:rsidP="00FA11EB">
      <w:pPr>
        <w:spacing w:after="0" w:line="240" w:lineRule="auto"/>
      </w:pPr>
      <w:r>
        <w:separator/>
      </w:r>
    </w:p>
  </w:endnote>
  <w:endnote w:type="continuationSeparator" w:id="0">
    <w:p w14:paraId="1B77919D" w14:textId="77777777" w:rsidR="00CB4167" w:rsidRDefault="00CB4167" w:rsidP="00FA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Bold">
    <w:altName w:val="MS Gothic"/>
    <w:panose1 w:val="00000000000000000000"/>
    <w:charset w:val="00"/>
    <w:family w:val="swiss"/>
    <w:notTrueType/>
    <w:pitch w:val="default"/>
    <w:sig w:usb0="00000003" w:usb1="08070000" w:usb2="00000010" w:usb3="00000000" w:csb0="00020001" w:csb1="00000000"/>
  </w:font>
  <w:font w:name="Nunito">
    <w:altName w:val="Nunito"/>
    <w:panose1 w:val="000005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70C0"/>
        <w:sz w:val="18"/>
      </w:rPr>
      <w:id w:val="-980611432"/>
      <w:docPartObj>
        <w:docPartGallery w:val="Page Numbers (Bottom of Page)"/>
        <w:docPartUnique/>
      </w:docPartObj>
    </w:sdtPr>
    <w:sdtEndPr/>
    <w:sdtContent>
      <w:p w14:paraId="66834984" w14:textId="77777777" w:rsidR="00E961A5" w:rsidRPr="00E961A5" w:rsidRDefault="00E961A5" w:rsidP="00E961A5">
        <w:pPr>
          <w:pStyle w:val="Pieddepage"/>
          <w:rPr>
            <w:color w:val="0070C0"/>
            <w:sz w:val="18"/>
          </w:rPr>
        </w:pPr>
        <w:r w:rsidRPr="00E961A5">
          <w:rPr>
            <w:color w:val="0070C0"/>
            <w:sz w:val="18"/>
          </w:rPr>
          <w:t xml:space="preserve">MISSION D’APPUI TECHNIQUE SECURITE ALIMENTAIRE </w:t>
        </w:r>
      </w:p>
      <w:p w14:paraId="62C9737E" w14:textId="7B8E1BF4" w:rsidR="00E961A5" w:rsidRPr="00E961A5" w:rsidRDefault="00E961A5" w:rsidP="00E961A5">
        <w:pPr>
          <w:pStyle w:val="Pieddepage"/>
          <w:rPr>
            <w:color w:val="0070C0"/>
            <w:sz w:val="18"/>
          </w:rPr>
        </w:pPr>
        <w:r w:rsidRPr="00E961A5">
          <w:rPr>
            <w:color w:val="0070C0"/>
            <w:sz w:val="18"/>
          </w:rPr>
          <w:t>Burkina Faso &amp; Niger</w:t>
        </w:r>
        <w:r w:rsidR="00ED520A">
          <w:rPr>
            <w:color w:val="0070C0"/>
            <w:sz w:val="18"/>
          </w:rPr>
          <w:t>.</w:t>
        </w:r>
        <w:r w:rsidRPr="00E961A5">
          <w:rPr>
            <w:color w:val="0070C0"/>
            <w:sz w:val="18"/>
          </w:rPr>
          <w:t xml:space="preserve"> </w:t>
        </w:r>
        <w:r w:rsidR="00686FFC">
          <w:rPr>
            <w:color w:val="0070C0"/>
            <w:sz w:val="18"/>
          </w:rPr>
          <w:t>Janvier – Février 2023</w:t>
        </w:r>
        <w:r w:rsidRPr="00E961A5">
          <w:rPr>
            <w:color w:val="0070C0"/>
            <w:sz w:val="18"/>
          </w:rPr>
          <w:tab/>
        </w:r>
        <w:r w:rsidRPr="00E961A5">
          <w:rPr>
            <w:color w:val="0070C0"/>
            <w:sz w:val="18"/>
          </w:rPr>
          <w:tab/>
        </w:r>
        <w:r>
          <w:rPr>
            <w:color w:val="0070C0"/>
            <w:sz w:val="18"/>
          </w:rPr>
          <w:t xml:space="preserve">   </w:t>
        </w:r>
        <w:r w:rsidRPr="00E961A5">
          <w:rPr>
            <w:color w:val="0070C0"/>
            <w:sz w:val="18"/>
          </w:rPr>
          <w:tab/>
          <w:t xml:space="preserve">          Page | </w:t>
        </w:r>
        <w:r w:rsidRPr="00E961A5">
          <w:rPr>
            <w:color w:val="0070C0"/>
            <w:sz w:val="18"/>
          </w:rPr>
          <w:fldChar w:fldCharType="begin"/>
        </w:r>
        <w:r w:rsidRPr="00E961A5">
          <w:rPr>
            <w:color w:val="0070C0"/>
            <w:sz w:val="18"/>
          </w:rPr>
          <w:instrText>PAGE   \* MERGEFORMAT</w:instrText>
        </w:r>
        <w:r w:rsidRPr="00E961A5">
          <w:rPr>
            <w:color w:val="0070C0"/>
            <w:sz w:val="18"/>
          </w:rPr>
          <w:fldChar w:fldCharType="separate"/>
        </w:r>
        <w:r w:rsidR="00ED6E5A">
          <w:rPr>
            <w:noProof/>
            <w:color w:val="0070C0"/>
            <w:sz w:val="18"/>
          </w:rPr>
          <w:t>7</w:t>
        </w:r>
        <w:r w:rsidRPr="00E961A5">
          <w:rPr>
            <w:color w:val="0070C0"/>
            <w:sz w:val="18"/>
          </w:rPr>
          <w:fldChar w:fldCharType="end"/>
        </w:r>
      </w:p>
    </w:sdtContent>
  </w:sdt>
  <w:p w14:paraId="36C8F2AF" w14:textId="3F3EAEEC" w:rsidR="00C65489" w:rsidRPr="00E961A5" w:rsidRDefault="00C65489" w:rsidP="00E961A5">
    <w:pPr>
      <w:pStyle w:val="Pieddepage"/>
      <w:tabs>
        <w:tab w:val="clear" w:pos="4536"/>
        <w:tab w:val="left" w:pos="0"/>
      </w:tabs>
      <w:ind w:left="-851" w:firstLine="851"/>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68C58" w14:textId="77777777" w:rsidR="00CB4167" w:rsidRDefault="00CB4167" w:rsidP="00FA11EB">
      <w:pPr>
        <w:spacing w:after="0" w:line="240" w:lineRule="auto"/>
      </w:pPr>
      <w:r>
        <w:separator/>
      </w:r>
    </w:p>
  </w:footnote>
  <w:footnote w:type="continuationSeparator" w:id="0">
    <w:p w14:paraId="33066622" w14:textId="77777777" w:rsidR="00CB4167" w:rsidRDefault="00CB4167" w:rsidP="00FA1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667561"/>
      <w:docPartObj>
        <w:docPartGallery w:val="Page Numbers (Top of Page)"/>
        <w:docPartUnique/>
      </w:docPartObj>
    </w:sdtPr>
    <w:sdtEndPr/>
    <w:sdtContent>
      <w:p w14:paraId="134D2B3B" w14:textId="427534C7" w:rsidR="00C65489" w:rsidRPr="005A5C27" w:rsidRDefault="001E476D" w:rsidP="00E961A5">
        <w:pPr>
          <w:pStyle w:val="En-tte"/>
          <w:rPr>
            <w:rFonts w:ascii="Arial" w:hAnsi="Arial" w:cs="Arial"/>
            <w:sz w:val="16"/>
            <w:szCs w:val="16"/>
          </w:rPr>
        </w:pPr>
        <w:r>
          <w:rPr>
            <w:rFonts w:ascii="Arial" w:hAnsi="Arial" w:cs="Arial"/>
            <w:noProof/>
            <w:sz w:val="16"/>
            <w:szCs w:val="16"/>
          </w:rPr>
          <w:drawing>
            <wp:anchor distT="0" distB="0" distL="114300" distR="114300" simplePos="0" relativeHeight="251658240" behindDoc="1" locked="0" layoutInCell="1" allowOverlap="1" wp14:anchorId="3954B37C" wp14:editId="2F5A754E">
              <wp:simplePos x="0" y="0"/>
              <wp:positionH relativeFrom="column">
                <wp:posOffset>2951223</wp:posOffset>
              </wp:positionH>
              <wp:positionV relativeFrom="paragraph">
                <wp:posOffset>-299302</wp:posOffset>
              </wp:positionV>
              <wp:extent cx="800735" cy="450850"/>
              <wp:effectExtent l="0" t="0" r="0" b="6350"/>
              <wp:wrapTight wrapText="bothSides">
                <wp:wrapPolygon edited="0">
                  <wp:start x="0" y="0"/>
                  <wp:lineTo x="0" y="20992"/>
                  <wp:lineTo x="21069" y="20992"/>
                  <wp:lineTo x="21069"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1999x400-l_handicap_bs_horiz_blue-rgb.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0735" cy="450850"/>
                      </a:xfrm>
                      <a:prstGeom prst="rect">
                        <a:avLst/>
                      </a:prstGeom>
                    </pic:spPr>
                  </pic:pic>
                </a:graphicData>
              </a:graphic>
              <wp14:sizeRelH relativeFrom="page">
                <wp14:pctWidth>0</wp14:pctWidth>
              </wp14:sizeRelH>
              <wp14:sizeRelV relativeFrom="page">
                <wp14:pctHeight>0</wp14:pctHeight>
              </wp14:sizeRelV>
            </wp:anchor>
          </w:drawing>
        </w:r>
        <w:r w:rsidR="00C65489">
          <w:rPr>
            <w:rFonts w:ascii="Arial" w:hAnsi="Arial" w:cs="Arial"/>
            <w:sz w:val="16"/>
            <w:szCs w:val="16"/>
          </w:rPr>
          <w:tab/>
        </w:r>
        <w:r w:rsidR="00C65489">
          <w:rPr>
            <w:rFonts w:ascii="Arial" w:hAnsi="Arial" w:cs="Arial"/>
            <w:sz w:val="16"/>
            <w:szCs w:val="16"/>
          </w:rPr>
          <w:tab/>
        </w:r>
        <w:r w:rsidR="00C65489">
          <w:rPr>
            <w:rFonts w:ascii="Arial" w:hAnsi="Arial" w:cs="Arial"/>
            <w:sz w:val="16"/>
            <w:szCs w:val="16"/>
          </w:rPr>
          <w:tab/>
        </w:r>
        <w:r w:rsidR="00C65489">
          <w:rPr>
            <w:rFonts w:ascii="Arial" w:hAnsi="Arial" w:cs="Arial"/>
            <w:sz w:val="16"/>
            <w:szCs w:val="16"/>
          </w:rPr>
          <w:tab/>
        </w:r>
      </w:p>
    </w:sdtContent>
  </w:sdt>
  <w:p w14:paraId="12802EB6" w14:textId="7C1EBE3D" w:rsidR="00C65489" w:rsidRDefault="00C654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CA2"/>
    <w:multiLevelType w:val="hybridMultilevel"/>
    <w:tmpl w:val="3C82A32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8637A1D"/>
    <w:multiLevelType w:val="hybridMultilevel"/>
    <w:tmpl w:val="FF609D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979F3"/>
    <w:multiLevelType w:val="hybridMultilevel"/>
    <w:tmpl w:val="0578103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324543"/>
    <w:multiLevelType w:val="hybridMultilevel"/>
    <w:tmpl w:val="DEBA0A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C95EFA"/>
    <w:multiLevelType w:val="hybridMultilevel"/>
    <w:tmpl w:val="B99C2FB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91C6FB7"/>
    <w:multiLevelType w:val="hybridMultilevel"/>
    <w:tmpl w:val="3DEA88C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B1E03BF"/>
    <w:multiLevelType w:val="hybridMultilevel"/>
    <w:tmpl w:val="A8F656C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C372122"/>
    <w:multiLevelType w:val="hybridMultilevel"/>
    <w:tmpl w:val="76704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5D2783"/>
    <w:multiLevelType w:val="hybridMultilevel"/>
    <w:tmpl w:val="20388D9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32662283"/>
    <w:multiLevelType w:val="hybridMultilevel"/>
    <w:tmpl w:val="62C203F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410B7A"/>
    <w:multiLevelType w:val="hybridMultilevel"/>
    <w:tmpl w:val="20A27026"/>
    <w:lvl w:ilvl="0" w:tplc="60C002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59EBC1"/>
    <w:multiLevelType w:val="hybridMultilevel"/>
    <w:tmpl w:val="18B88F3A"/>
    <w:lvl w:ilvl="0" w:tplc="2F205494">
      <w:start w:val="1"/>
      <w:numFmt w:val="bullet"/>
      <w:lvlText w:val=""/>
      <w:lvlJc w:val="left"/>
      <w:pPr>
        <w:ind w:left="720" w:hanging="360"/>
      </w:pPr>
      <w:rPr>
        <w:rFonts w:ascii="Symbol" w:hAnsi="Symbol" w:hint="default"/>
      </w:rPr>
    </w:lvl>
    <w:lvl w:ilvl="1" w:tplc="143CC8D4">
      <w:start w:val="1"/>
      <w:numFmt w:val="bullet"/>
      <w:lvlText w:val="o"/>
      <w:lvlJc w:val="left"/>
      <w:pPr>
        <w:ind w:left="1440" w:hanging="360"/>
      </w:pPr>
      <w:rPr>
        <w:rFonts w:ascii="Courier New" w:hAnsi="Courier New" w:hint="default"/>
      </w:rPr>
    </w:lvl>
    <w:lvl w:ilvl="2" w:tplc="156AC96C">
      <w:start w:val="1"/>
      <w:numFmt w:val="bullet"/>
      <w:lvlText w:val=""/>
      <w:lvlJc w:val="left"/>
      <w:pPr>
        <w:ind w:left="2160" w:hanging="360"/>
      </w:pPr>
      <w:rPr>
        <w:rFonts w:ascii="Wingdings" w:hAnsi="Wingdings" w:hint="default"/>
      </w:rPr>
    </w:lvl>
    <w:lvl w:ilvl="3" w:tplc="CFA46990">
      <w:start w:val="1"/>
      <w:numFmt w:val="bullet"/>
      <w:lvlText w:val=""/>
      <w:lvlJc w:val="left"/>
      <w:pPr>
        <w:ind w:left="2880" w:hanging="360"/>
      </w:pPr>
      <w:rPr>
        <w:rFonts w:ascii="Symbol" w:hAnsi="Symbol" w:hint="default"/>
      </w:rPr>
    </w:lvl>
    <w:lvl w:ilvl="4" w:tplc="53B2293C">
      <w:start w:val="1"/>
      <w:numFmt w:val="bullet"/>
      <w:lvlText w:val="o"/>
      <w:lvlJc w:val="left"/>
      <w:pPr>
        <w:ind w:left="3600" w:hanging="360"/>
      </w:pPr>
      <w:rPr>
        <w:rFonts w:ascii="Courier New" w:hAnsi="Courier New" w:hint="default"/>
      </w:rPr>
    </w:lvl>
    <w:lvl w:ilvl="5" w:tplc="5E402C66">
      <w:start w:val="1"/>
      <w:numFmt w:val="bullet"/>
      <w:lvlText w:val=""/>
      <w:lvlJc w:val="left"/>
      <w:pPr>
        <w:ind w:left="4320" w:hanging="360"/>
      </w:pPr>
      <w:rPr>
        <w:rFonts w:ascii="Wingdings" w:hAnsi="Wingdings" w:hint="default"/>
      </w:rPr>
    </w:lvl>
    <w:lvl w:ilvl="6" w:tplc="91B8A6D8">
      <w:start w:val="1"/>
      <w:numFmt w:val="bullet"/>
      <w:lvlText w:val=""/>
      <w:lvlJc w:val="left"/>
      <w:pPr>
        <w:ind w:left="5040" w:hanging="360"/>
      </w:pPr>
      <w:rPr>
        <w:rFonts w:ascii="Symbol" w:hAnsi="Symbol" w:hint="default"/>
      </w:rPr>
    </w:lvl>
    <w:lvl w:ilvl="7" w:tplc="3FA64738">
      <w:start w:val="1"/>
      <w:numFmt w:val="bullet"/>
      <w:lvlText w:val="o"/>
      <w:lvlJc w:val="left"/>
      <w:pPr>
        <w:ind w:left="5760" w:hanging="360"/>
      </w:pPr>
      <w:rPr>
        <w:rFonts w:ascii="Courier New" w:hAnsi="Courier New" w:hint="default"/>
      </w:rPr>
    </w:lvl>
    <w:lvl w:ilvl="8" w:tplc="8A34791C">
      <w:start w:val="1"/>
      <w:numFmt w:val="bullet"/>
      <w:lvlText w:val=""/>
      <w:lvlJc w:val="left"/>
      <w:pPr>
        <w:ind w:left="6480" w:hanging="360"/>
      </w:pPr>
      <w:rPr>
        <w:rFonts w:ascii="Wingdings" w:hAnsi="Wingdings" w:hint="default"/>
      </w:rPr>
    </w:lvl>
  </w:abstractNum>
  <w:abstractNum w:abstractNumId="12" w15:restartNumberingAfterBreak="0">
    <w:nsid w:val="454B1A8A"/>
    <w:multiLevelType w:val="hybridMultilevel"/>
    <w:tmpl w:val="99BEA77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80238B9"/>
    <w:multiLevelType w:val="hybridMultilevel"/>
    <w:tmpl w:val="CF36D28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242401"/>
    <w:multiLevelType w:val="hybridMultilevel"/>
    <w:tmpl w:val="EFDC80F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8E036C"/>
    <w:multiLevelType w:val="hybridMultilevel"/>
    <w:tmpl w:val="765887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41491D"/>
    <w:multiLevelType w:val="hybridMultilevel"/>
    <w:tmpl w:val="1D92BDA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87D0272"/>
    <w:multiLevelType w:val="hybridMultilevel"/>
    <w:tmpl w:val="16F4FAF8"/>
    <w:lvl w:ilvl="0" w:tplc="040C000B">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DF6F77"/>
    <w:multiLevelType w:val="multilevel"/>
    <w:tmpl w:val="00F871B2"/>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9" w15:restartNumberingAfterBreak="0">
    <w:nsid w:val="5FFA35F1"/>
    <w:multiLevelType w:val="hybridMultilevel"/>
    <w:tmpl w:val="D346CB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2936A86"/>
    <w:multiLevelType w:val="hybridMultilevel"/>
    <w:tmpl w:val="BC687F4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6125B9F"/>
    <w:multiLevelType w:val="hybridMultilevel"/>
    <w:tmpl w:val="7A00D93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7B06F1B"/>
    <w:multiLevelType w:val="hybridMultilevel"/>
    <w:tmpl w:val="3D845CB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3"/>
  </w:num>
  <w:num w:numId="2">
    <w:abstractNumId w:val="2"/>
  </w:num>
  <w:num w:numId="3">
    <w:abstractNumId w:val="7"/>
  </w:num>
  <w:num w:numId="4">
    <w:abstractNumId w:val="15"/>
  </w:num>
  <w:num w:numId="5">
    <w:abstractNumId w:val="10"/>
  </w:num>
  <w:num w:numId="6">
    <w:abstractNumId w:val="17"/>
  </w:num>
  <w:num w:numId="7">
    <w:abstractNumId w:val="5"/>
  </w:num>
  <w:num w:numId="8">
    <w:abstractNumId w:val="19"/>
  </w:num>
  <w:num w:numId="9">
    <w:abstractNumId w:val="11"/>
  </w:num>
  <w:num w:numId="10">
    <w:abstractNumId w:val="18"/>
  </w:num>
  <w:num w:numId="11">
    <w:abstractNumId w:val="9"/>
  </w:num>
  <w:num w:numId="12">
    <w:abstractNumId w:val="13"/>
  </w:num>
  <w:num w:numId="13">
    <w:abstractNumId w:val="1"/>
  </w:num>
  <w:num w:numId="14">
    <w:abstractNumId w:val="14"/>
  </w:num>
  <w:num w:numId="15">
    <w:abstractNumId w:val="22"/>
  </w:num>
  <w:num w:numId="16">
    <w:abstractNumId w:val="20"/>
  </w:num>
  <w:num w:numId="17">
    <w:abstractNumId w:val="16"/>
  </w:num>
  <w:num w:numId="18">
    <w:abstractNumId w:val="0"/>
  </w:num>
  <w:num w:numId="19">
    <w:abstractNumId w:val="21"/>
  </w:num>
  <w:num w:numId="20">
    <w:abstractNumId w:val="12"/>
  </w:num>
  <w:num w:numId="21">
    <w:abstractNumId w:val="6"/>
  </w:num>
  <w:num w:numId="22">
    <w:abstractNumId w:val="4"/>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1EB"/>
    <w:rsid w:val="00004AB3"/>
    <w:rsid w:val="000178D4"/>
    <w:rsid w:val="00017D93"/>
    <w:rsid w:val="00040586"/>
    <w:rsid w:val="0004062E"/>
    <w:rsid w:val="0004778F"/>
    <w:rsid w:val="00053C90"/>
    <w:rsid w:val="000547A1"/>
    <w:rsid w:val="0006742C"/>
    <w:rsid w:val="0007534F"/>
    <w:rsid w:val="00077936"/>
    <w:rsid w:val="000818EA"/>
    <w:rsid w:val="00082ADC"/>
    <w:rsid w:val="00085AA3"/>
    <w:rsid w:val="000A5706"/>
    <w:rsid w:val="000D3642"/>
    <w:rsid w:val="000D4022"/>
    <w:rsid w:val="000E4A01"/>
    <w:rsid w:val="000E573F"/>
    <w:rsid w:val="000F2D09"/>
    <w:rsid w:val="001049A4"/>
    <w:rsid w:val="00124816"/>
    <w:rsid w:val="001276AB"/>
    <w:rsid w:val="00136E02"/>
    <w:rsid w:val="00140550"/>
    <w:rsid w:val="0014248E"/>
    <w:rsid w:val="001505F9"/>
    <w:rsid w:val="001731F7"/>
    <w:rsid w:val="00173B04"/>
    <w:rsid w:val="00174591"/>
    <w:rsid w:val="001807ED"/>
    <w:rsid w:val="00182439"/>
    <w:rsid w:val="00182CFA"/>
    <w:rsid w:val="001A19CD"/>
    <w:rsid w:val="001A1CC7"/>
    <w:rsid w:val="001B5748"/>
    <w:rsid w:val="001C6B50"/>
    <w:rsid w:val="001D20D5"/>
    <w:rsid w:val="001E476D"/>
    <w:rsid w:val="001F4034"/>
    <w:rsid w:val="00201A7D"/>
    <w:rsid w:val="00203891"/>
    <w:rsid w:val="002059DA"/>
    <w:rsid w:val="0023525D"/>
    <w:rsid w:val="00241976"/>
    <w:rsid w:val="00260730"/>
    <w:rsid w:val="00263A63"/>
    <w:rsid w:val="0026481D"/>
    <w:rsid w:val="0027383F"/>
    <w:rsid w:val="00275BE6"/>
    <w:rsid w:val="00285429"/>
    <w:rsid w:val="00286522"/>
    <w:rsid w:val="00292997"/>
    <w:rsid w:val="00293BE0"/>
    <w:rsid w:val="00294952"/>
    <w:rsid w:val="002A2BB2"/>
    <w:rsid w:val="002A3E4C"/>
    <w:rsid w:val="002A4E54"/>
    <w:rsid w:val="002D042D"/>
    <w:rsid w:val="00304034"/>
    <w:rsid w:val="0030620D"/>
    <w:rsid w:val="00311429"/>
    <w:rsid w:val="003115B4"/>
    <w:rsid w:val="00342058"/>
    <w:rsid w:val="00347272"/>
    <w:rsid w:val="00351D80"/>
    <w:rsid w:val="00353224"/>
    <w:rsid w:val="00361AFF"/>
    <w:rsid w:val="00372192"/>
    <w:rsid w:val="00383009"/>
    <w:rsid w:val="003C2243"/>
    <w:rsid w:val="003C4D90"/>
    <w:rsid w:val="003D4025"/>
    <w:rsid w:val="003E604E"/>
    <w:rsid w:val="003E7396"/>
    <w:rsid w:val="003F026F"/>
    <w:rsid w:val="00407397"/>
    <w:rsid w:val="00407F80"/>
    <w:rsid w:val="004177F3"/>
    <w:rsid w:val="00420B14"/>
    <w:rsid w:val="00464ECF"/>
    <w:rsid w:val="00487922"/>
    <w:rsid w:val="004958AB"/>
    <w:rsid w:val="00495A32"/>
    <w:rsid w:val="004A6D03"/>
    <w:rsid w:val="004A7334"/>
    <w:rsid w:val="004B1050"/>
    <w:rsid w:val="004B2F07"/>
    <w:rsid w:val="004C29B5"/>
    <w:rsid w:val="004E22C8"/>
    <w:rsid w:val="004F6BF6"/>
    <w:rsid w:val="00503FEB"/>
    <w:rsid w:val="0050415E"/>
    <w:rsid w:val="005121C1"/>
    <w:rsid w:val="00522FB0"/>
    <w:rsid w:val="00531A1A"/>
    <w:rsid w:val="00537922"/>
    <w:rsid w:val="00546CE0"/>
    <w:rsid w:val="00552437"/>
    <w:rsid w:val="005614DD"/>
    <w:rsid w:val="00576524"/>
    <w:rsid w:val="005928CA"/>
    <w:rsid w:val="00596991"/>
    <w:rsid w:val="005A5C27"/>
    <w:rsid w:val="005B3E72"/>
    <w:rsid w:val="005B7036"/>
    <w:rsid w:val="005B7C1F"/>
    <w:rsid w:val="005C2837"/>
    <w:rsid w:val="005E2A0E"/>
    <w:rsid w:val="005F11E0"/>
    <w:rsid w:val="005F2204"/>
    <w:rsid w:val="00616655"/>
    <w:rsid w:val="00621B0F"/>
    <w:rsid w:val="00637712"/>
    <w:rsid w:val="00640DBD"/>
    <w:rsid w:val="006441D0"/>
    <w:rsid w:val="00645381"/>
    <w:rsid w:val="00651B69"/>
    <w:rsid w:val="00656358"/>
    <w:rsid w:val="00662D0E"/>
    <w:rsid w:val="00686FFC"/>
    <w:rsid w:val="006A17F9"/>
    <w:rsid w:val="006A1FD2"/>
    <w:rsid w:val="006A6E50"/>
    <w:rsid w:val="006C2DC4"/>
    <w:rsid w:val="006E2926"/>
    <w:rsid w:val="006E350C"/>
    <w:rsid w:val="006F35F2"/>
    <w:rsid w:val="006F71BA"/>
    <w:rsid w:val="0071692E"/>
    <w:rsid w:val="0071774A"/>
    <w:rsid w:val="0072120E"/>
    <w:rsid w:val="007324C1"/>
    <w:rsid w:val="00733686"/>
    <w:rsid w:val="00735EDA"/>
    <w:rsid w:val="007535CD"/>
    <w:rsid w:val="0076193F"/>
    <w:rsid w:val="00781623"/>
    <w:rsid w:val="00786551"/>
    <w:rsid w:val="00790AD0"/>
    <w:rsid w:val="00793898"/>
    <w:rsid w:val="007952AC"/>
    <w:rsid w:val="007A5901"/>
    <w:rsid w:val="007D16C5"/>
    <w:rsid w:val="007D55E4"/>
    <w:rsid w:val="007E4F72"/>
    <w:rsid w:val="007E6DF4"/>
    <w:rsid w:val="007F51F9"/>
    <w:rsid w:val="007F7611"/>
    <w:rsid w:val="00822ADD"/>
    <w:rsid w:val="008426CF"/>
    <w:rsid w:val="00844770"/>
    <w:rsid w:val="00853D5C"/>
    <w:rsid w:val="008547D5"/>
    <w:rsid w:val="0085659D"/>
    <w:rsid w:val="00861C14"/>
    <w:rsid w:val="00865524"/>
    <w:rsid w:val="00871463"/>
    <w:rsid w:val="00884576"/>
    <w:rsid w:val="0089711F"/>
    <w:rsid w:val="008A2788"/>
    <w:rsid w:val="008A37D9"/>
    <w:rsid w:val="008A74E8"/>
    <w:rsid w:val="008C33EC"/>
    <w:rsid w:val="008D41B4"/>
    <w:rsid w:val="008E0662"/>
    <w:rsid w:val="008E17AA"/>
    <w:rsid w:val="008E2A6F"/>
    <w:rsid w:val="009050B1"/>
    <w:rsid w:val="0091283B"/>
    <w:rsid w:val="00916409"/>
    <w:rsid w:val="009331DA"/>
    <w:rsid w:val="00946FD2"/>
    <w:rsid w:val="009548A6"/>
    <w:rsid w:val="00957534"/>
    <w:rsid w:val="0096646C"/>
    <w:rsid w:val="00982619"/>
    <w:rsid w:val="00982E0B"/>
    <w:rsid w:val="0098691D"/>
    <w:rsid w:val="00986F5A"/>
    <w:rsid w:val="0099463B"/>
    <w:rsid w:val="009C65F6"/>
    <w:rsid w:val="009D59F8"/>
    <w:rsid w:val="009E44E0"/>
    <w:rsid w:val="009F687D"/>
    <w:rsid w:val="00A03D27"/>
    <w:rsid w:val="00A24E68"/>
    <w:rsid w:val="00A25D7D"/>
    <w:rsid w:val="00A3682B"/>
    <w:rsid w:val="00A44261"/>
    <w:rsid w:val="00A4715A"/>
    <w:rsid w:val="00A62FB3"/>
    <w:rsid w:val="00A705FC"/>
    <w:rsid w:val="00A7139E"/>
    <w:rsid w:val="00A81961"/>
    <w:rsid w:val="00A8295F"/>
    <w:rsid w:val="00A94BF5"/>
    <w:rsid w:val="00A97635"/>
    <w:rsid w:val="00AA36D3"/>
    <w:rsid w:val="00AA7130"/>
    <w:rsid w:val="00AE510A"/>
    <w:rsid w:val="00AE5283"/>
    <w:rsid w:val="00AF3840"/>
    <w:rsid w:val="00B072A8"/>
    <w:rsid w:val="00B1381A"/>
    <w:rsid w:val="00B210C1"/>
    <w:rsid w:val="00B520D1"/>
    <w:rsid w:val="00B70ADA"/>
    <w:rsid w:val="00B95EDE"/>
    <w:rsid w:val="00BB3383"/>
    <w:rsid w:val="00BC127D"/>
    <w:rsid w:val="00BC619C"/>
    <w:rsid w:val="00BD3065"/>
    <w:rsid w:val="00BF5DA0"/>
    <w:rsid w:val="00BF7A65"/>
    <w:rsid w:val="00C1339D"/>
    <w:rsid w:val="00C15425"/>
    <w:rsid w:val="00C24A91"/>
    <w:rsid w:val="00C50047"/>
    <w:rsid w:val="00C65489"/>
    <w:rsid w:val="00C76F5B"/>
    <w:rsid w:val="00C77642"/>
    <w:rsid w:val="00C92DF6"/>
    <w:rsid w:val="00CA1A24"/>
    <w:rsid w:val="00CA3D00"/>
    <w:rsid w:val="00CB4167"/>
    <w:rsid w:val="00CC404E"/>
    <w:rsid w:val="00CC7461"/>
    <w:rsid w:val="00CE1630"/>
    <w:rsid w:val="00CE6DB5"/>
    <w:rsid w:val="00CF68F9"/>
    <w:rsid w:val="00D024F3"/>
    <w:rsid w:val="00D14B9D"/>
    <w:rsid w:val="00D176A3"/>
    <w:rsid w:val="00D23022"/>
    <w:rsid w:val="00D232F8"/>
    <w:rsid w:val="00D311AD"/>
    <w:rsid w:val="00D33F9F"/>
    <w:rsid w:val="00D35167"/>
    <w:rsid w:val="00D47919"/>
    <w:rsid w:val="00D6110D"/>
    <w:rsid w:val="00D637CD"/>
    <w:rsid w:val="00D65919"/>
    <w:rsid w:val="00D67DA1"/>
    <w:rsid w:val="00D72F53"/>
    <w:rsid w:val="00D74067"/>
    <w:rsid w:val="00D83AEF"/>
    <w:rsid w:val="00D8621A"/>
    <w:rsid w:val="00D91AAD"/>
    <w:rsid w:val="00D94E6B"/>
    <w:rsid w:val="00DA3D6E"/>
    <w:rsid w:val="00DD0B62"/>
    <w:rsid w:val="00DD3C15"/>
    <w:rsid w:val="00DD3FC0"/>
    <w:rsid w:val="00DF30F0"/>
    <w:rsid w:val="00DF3DE2"/>
    <w:rsid w:val="00E00A0D"/>
    <w:rsid w:val="00E03041"/>
    <w:rsid w:val="00E036AE"/>
    <w:rsid w:val="00E04C56"/>
    <w:rsid w:val="00E13A1C"/>
    <w:rsid w:val="00E13FD3"/>
    <w:rsid w:val="00E179B3"/>
    <w:rsid w:val="00E17FBD"/>
    <w:rsid w:val="00E33F96"/>
    <w:rsid w:val="00E34BDF"/>
    <w:rsid w:val="00E5242E"/>
    <w:rsid w:val="00E5453B"/>
    <w:rsid w:val="00E665D1"/>
    <w:rsid w:val="00E91A0D"/>
    <w:rsid w:val="00E961A5"/>
    <w:rsid w:val="00EB6806"/>
    <w:rsid w:val="00EB756F"/>
    <w:rsid w:val="00EB780A"/>
    <w:rsid w:val="00ED520A"/>
    <w:rsid w:val="00ED52D8"/>
    <w:rsid w:val="00ED6E5A"/>
    <w:rsid w:val="00EE3F75"/>
    <w:rsid w:val="00F06348"/>
    <w:rsid w:val="00F22ACF"/>
    <w:rsid w:val="00F24496"/>
    <w:rsid w:val="00F449EE"/>
    <w:rsid w:val="00F50B5B"/>
    <w:rsid w:val="00F56B29"/>
    <w:rsid w:val="00F87D28"/>
    <w:rsid w:val="00F971D1"/>
    <w:rsid w:val="00FA11EB"/>
    <w:rsid w:val="00FA406D"/>
    <w:rsid w:val="00FA4823"/>
    <w:rsid w:val="00FA68EE"/>
    <w:rsid w:val="00FD161D"/>
    <w:rsid w:val="00FD2AC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02D27"/>
  <w15:docId w15:val="{AADDBF2F-ED04-4B61-8B6B-412E0062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Corpsdetexte"/>
    <w:link w:val="Titre1Car"/>
    <w:uiPriority w:val="99"/>
    <w:qFormat/>
    <w:rsid w:val="00EE3F75"/>
    <w:pPr>
      <w:keepNext/>
      <w:keepLines/>
      <w:spacing w:after="240" w:line="200" w:lineRule="atLeast"/>
      <w:outlineLvl w:val="0"/>
    </w:pPr>
    <w:rPr>
      <w:rFonts w:ascii="Arial" w:eastAsia="Calibri" w:hAnsi="Arial" w:cs="Times New Roman"/>
      <w:b/>
      <w:spacing w:val="-10"/>
      <w:kern w:val="28"/>
      <w:sz w:val="28"/>
      <w:szCs w:val="20"/>
      <w:lang w:eastAsia="en-US"/>
    </w:rPr>
  </w:style>
  <w:style w:type="paragraph" w:styleId="Titre2">
    <w:name w:val="heading 2"/>
    <w:basedOn w:val="Normal"/>
    <w:next w:val="Normal"/>
    <w:link w:val="Titre2Car"/>
    <w:qFormat/>
    <w:rsid w:val="008D41B4"/>
    <w:pPr>
      <w:keepNext/>
      <w:spacing w:before="240"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A11EB"/>
    <w:pPr>
      <w:tabs>
        <w:tab w:val="center" w:pos="4536"/>
        <w:tab w:val="right" w:pos="9072"/>
      </w:tabs>
      <w:spacing w:after="0" w:line="240" w:lineRule="auto"/>
    </w:pPr>
  </w:style>
  <w:style w:type="character" w:customStyle="1" w:styleId="En-tteCar">
    <w:name w:val="En-tête Car"/>
    <w:basedOn w:val="Policepardfaut"/>
    <w:link w:val="En-tte"/>
    <w:uiPriority w:val="99"/>
    <w:rsid w:val="00FA11EB"/>
  </w:style>
  <w:style w:type="paragraph" w:styleId="Pieddepage">
    <w:name w:val="footer"/>
    <w:basedOn w:val="Normal"/>
    <w:link w:val="PieddepageCar"/>
    <w:uiPriority w:val="99"/>
    <w:unhideWhenUsed/>
    <w:rsid w:val="00FA11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11EB"/>
  </w:style>
  <w:style w:type="paragraph" w:styleId="Textedebulles">
    <w:name w:val="Balloon Text"/>
    <w:basedOn w:val="Normal"/>
    <w:link w:val="TextedebullesCar"/>
    <w:uiPriority w:val="99"/>
    <w:semiHidden/>
    <w:unhideWhenUsed/>
    <w:rsid w:val="00FA11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1EB"/>
    <w:rPr>
      <w:rFonts w:ascii="Tahoma" w:hAnsi="Tahoma" w:cs="Tahoma"/>
      <w:sz w:val="16"/>
      <w:szCs w:val="16"/>
    </w:rPr>
  </w:style>
  <w:style w:type="character" w:styleId="Lienhypertexte">
    <w:name w:val="Hyperlink"/>
    <w:basedOn w:val="Policepardfaut"/>
    <w:uiPriority w:val="99"/>
    <w:unhideWhenUsed/>
    <w:rsid w:val="00D637CD"/>
    <w:rPr>
      <w:color w:val="0000FF" w:themeColor="hyperlink"/>
      <w:u w:val="single"/>
    </w:rPr>
  </w:style>
  <w:style w:type="table" w:styleId="Grilledutableau">
    <w:name w:val="Table Grid"/>
    <w:basedOn w:val="TableauNormal"/>
    <w:uiPriority w:val="99"/>
    <w:rsid w:val="009F68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aliases w:val="sous titre 2,normal,List Paragraph1,Normal1,Normal11,Normal111,Normal2,Normal3,Normal4,Normal5,Normal6,Normal7,References,Ha,inspringtekst,Lettre d'introduction,List numbered,U 5,Glossaire,liste de tableaux,Titre1,texte,Bullet Points"/>
    <w:basedOn w:val="Normal"/>
    <w:link w:val="ParagraphedelisteCar"/>
    <w:uiPriority w:val="34"/>
    <w:qFormat/>
    <w:rsid w:val="00640DBD"/>
    <w:pPr>
      <w:ind w:left="720"/>
      <w:contextualSpacing/>
    </w:pPr>
  </w:style>
  <w:style w:type="character" w:customStyle="1" w:styleId="Titre1Car">
    <w:name w:val="Titre 1 Car"/>
    <w:basedOn w:val="Policepardfaut"/>
    <w:link w:val="Titre1"/>
    <w:uiPriority w:val="99"/>
    <w:rsid w:val="00EE3F75"/>
    <w:rPr>
      <w:rFonts w:ascii="Arial" w:eastAsia="Calibri" w:hAnsi="Arial" w:cs="Times New Roman"/>
      <w:b/>
      <w:spacing w:val="-10"/>
      <w:kern w:val="28"/>
      <w:sz w:val="28"/>
      <w:szCs w:val="20"/>
      <w:lang w:eastAsia="en-US"/>
    </w:rPr>
  </w:style>
  <w:style w:type="paragraph" w:styleId="Corpsdetexte">
    <w:name w:val="Body Text"/>
    <w:basedOn w:val="Normal"/>
    <w:link w:val="CorpsdetexteCar"/>
    <w:uiPriority w:val="99"/>
    <w:semiHidden/>
    <w:rsid w:val="00EE3F75"/>
    <w:pPr>
      <w:spacing w:after="220" w:line="220" w:lineRule="atLeast"/>
      <w:ind w:left="835"/>
    </w:pPr>
    <w:rPr>
      <w:rFonts w:ascii="Times New Roman" w:eastAsia="Calibri" w:hAnsi="Times New Roman" w:cs="Times New Roman"/>
      <w:sz w:val="20"/>
      <w:szCs w:val="20"/>
      <w:lang w:eastAsia="en-US"/>
    </w:rPr>
  </w:style>
  <w:style w:type="character" w:customStyle="1" w:styleId="CorpsdetexteCar">
    <w:name w:val="Corps de texte Car"/>
    <w:basedOn w:val="Policepardfaut"/>
    <w:link w:val="Corpsdetexte"/>
    <w:uiPriority w:val="99"/>
    <w:semiHidden/>
    <w:rsid w:val="00EE3F75"/>
    <w:rPr>
      <w:rFonts w:ascii="Times New Roman" w:eastAsia="Calibri" w:hAnsi="Times New Roman" w:cs="Times New Roman"/>
      <w:sz w:val="20"/>
      <w:szCs w:val="20"/>
      <w:lang w:eastAsia="en-US"/>
    </w:rPr>
  </w:style>
  <w:style w:type="character" w:styleId="Marquedecommentaire">
    <w:name w:val="annotation reference"/>
    <w:basedOn w:val="Policepardfaut"/>
    <w:uiPriority w:val="99"/>
    <w:semiHidden/>
    <w:unhideWhenUsed/>
    <w:rsid w:val="007E4F72"/>
    <w:rPr>
      <w:sz w:val="16"/>
      <w:szCs w:val="16"/>
    </w:rPr>
  </w:style>
  <w:style w:type="paragraph" w:styleId="Commentaire">
    <w:name w:val="annotation text"/>
    <w:basedOn w:val="Normal"/>
    <w:link w:val="CommentaireCar"/>
    <w:uiPriority w:val="99"/>
    <w:unhideWhenUsed/>
    <w:rsid w:val="007E4F72"/>
    <w:pPr>
      <w:spacing w:line="240" w:lineRule="auto"/>
    </w:pPr>
    <w:rPr>
      <w:sz w:val="20"/>
      <w:szCs w:val="20"/>
    </w:rPr>
  </w:style>
  <w:style w:type="character" w:customStyle="1" w:styleId="CommentaireCar">
    <w:name w:val="Commentaire Car"/>
    <w:basedOn w:val="Policepardfaut"/>
    <w:link w:val="Commentaire"/>
    <w:uiPriority w:val="99"/>
    <w:rsid w:val="007E4F72"/>
    <w:rPr>
      <w:sz w:val="20"/>
      <w:szCs w:val="20"/>
    </w:rPr>
  </w:style>
  <w:style w:type="paragraph" w:styleId="Objetducommentaire">
    <w:name w:val="annotation subject"/>
    <w:basedOn w:val="Commentaire"/>
    <w:next w:val="Commentaire"/>
    <w:link w:val="ObjetducommentaireCar"/>
    <w:uiPriority w:val="99"/>
    <w:semiHidden/>
    <w:unhideWhenUsed/>
    <w:rsid w:val="007E4F72"/>
    <w:rPr>
      <w:b/>
      <w:bCs/>
    </w:rPr>
  </w:style>
  <w:style w:type="character" w:customStyle="1" w:styleId="ObjetducommentaireCar">
    <w:name w:val="Objet du commentaire Car"/>
    <w:basedOn w:val="CommentaireCar"/>
    <w:link w:val="Objetducommentaire"/>
    <w:uiPriority w:val="99"/>
    <w:semiHidden/>
    <w:rsid w:val="007E4F72"/>
    <w:rPr>
      <w:b/>
      <w:bCs/>
      <w:sz w:val="20"/>
      <w:szCs w:val="20"/>
    </w:rPr>
  </w:style>
  <w:style w:type="character" w:customStyle="1" w:styleId="ParagraphedelisteCar">
    <w:name w:val="Paragraphe de liste Car"/>
    <w:aliases w:val="sous titre 2 Car,normal Car,List Paragraph1 Car,Normal1 Car,Normal11 Car,Normal111 Car,Normal2 Car,Normal3 Car,Normal4 Car,Normal5 Car,Normal6 Car,Normal7 Car,References Car,Ha Car,inspringtekst Car,Lettre d'introduction Car"/>
    <w:link w:val="Paragraphedeliste"/>
    <w:uiPriority w:val="34"/>
    <w:qFormat/>
    <w:locked/>
    <w:rsid w:val="003C2243"/>
  </w:style>
  <w:style w:type="paragraph" w:customStyle="1" w:styleId="CarCarCarCarCarCarCar1">
    <w:name w:val="Car Car Car Car Car Car Car1"/>
    <w:basedOn w:val="Normal"/>
    <w:next w:val="Normal"/>
    <w:rsid w:val="007E6DF4"/>
    <w:pPr>
      <w:spacing w:after="160" w:line="240" w:lineRule="exact"/>
    </w:pPr>
    <w:rPr>
      <w:rFonts w:ascii="Tahoma" w:eastAsia="Times New Roman" w:hAnsi="Tahoma" w:cs="Times New Roman"/>
      <w:sz w:val="24"/>
      <w:szCs w:val="20"/>
      <w:lang w:val="en-US" w:eastAsia="en-US"/>
    </w:rPr>
  </w:style>
  <w:style w:type="character" w:customStyle="1" w:styleId="Titre2Car">
    <w:name w:val="Titre 2 Car"/>
    <w:basedOn w:val="Policepardfaut"/>
    <w:link w:val="Titre2"/>
    <w:rsid w:val="008D41B4"/>
    <w:rPr>
      <w:rFonts w:ascii="Arial" w:eastAsia="Times New Roman" w:hAnsi="Arial" w:cs="Arial"/>
      <w:b/>
      <w:bCs/>
      <w:i/>
      <w:iCs/>
      <w:sz w:val="28"/>
      <w:szCs w:val="28"/>
    </w:rPr>
  </w:style>
  <w:style w:type="paragraph" w:styleId="Notedebasdepage">
    <w:name w:val="footnote text"/>
    <w:basedOn w:val="Normal"/>
    <w:link w:val="NotedebasdepageCar"/>
    <w:unhideWhenUsed/>
    <w:rsid w:val="00203891"/>
    <w:pPr>
      <w:spacing w:after="0" w:line="240" w:lineRule="auto"/>
    </w:pPr>
    <w:rPr>
      <w:sz w:val="20"/>
      <w:szCs w:val="20"/>
    </w:rPr>
  </w:style>
  <w:style w:type="character" w:customStyle="1" w:styleId="NotedebasdepageCar">
    <w:name w:val="Note de bas de page Car"/>
    <w:basedOn w:val="Policepardfaut"/>
    <w:link w:val="Notedebasdepage"/>
    <w:rsid w:val="00203891"/>
    <w:rPr>
      <w:sz w:val="20"/>
      <w:szCs w:val="20"/>
    </w:rPr>
  </w:style>
  <w:style w:type="character" w:styleId="Appelnotedebasdep">
    <w:name w:val="footnote reference"/>
    <w:basedOn w:val="Policepardfaut"/>
    <w:unhideWhenUsed/>
    <w:rsid w:val="00203891"/>
    <w:rPr>
      <w:vertAlign w:val="superscript"/>
    </w:rPr>
  </w:style>
  <w:style w:type="paragraph" w:customStyle="1" w:styleId="indent">
    <w:name w:val="indent"/>
    <w:basedOn w:val="Normal"/>
    <w:uiPriority w:val="99"/>
    <w:rsid w:val="00FA68EE"/>
    <w:pPr>
      <w:spacing w:after="120" w:line="240" w:lineRule="auto"/>
      <w:ind w:left="567"/>
    </w:pPr>
    <w:rPr>
      <w:rFonts w:ascii="Arial" w:eastAsia="Times New Roman" w:hAnsi="Arial" w:cs="Times New Roman"/>
      <w:szCs w:val="24"/>
      <w:lang w:val="en-GB" w:eastAsia="en-GB"/>
    </w:rPr>
  </w:style>
  <w:style w:type="paragraph" w:styleId="Retraitcorpsdetexte">
    <w:name w:val="Body Text Indent"/>
    <w:basedOn w:val="Normal"/>
    <w:link w:val="RetraitcorpsdetexteCar"/>
    <w:uiPriority w:val="99"/>
    <w:semiHidden/>
    <w:unhideWhenUsed/>
    <w:rsid w:val="00E33F96"/>
    <w:pPr>
      <w:spacing w:after="120"/>
      <w:ind w:left="283"/>
    </w:pPr>
  </w:style>
  <w:style w:type="character" w:customStyle="1" w:styleId="RetraitcorpsdetexteCar">
    <w:name w:val="Retrait corps de texte Car"/>
    <w:basedOn w:val="Policepardfaut"/>
    <w:link w:val="Retraitcorpsdetexte"/>
    <w:uiPriority w:val="99"/>
    <w:semiHidden/>
    <w:rsid w:val="00E33F96"/>
  </w:style>
  <w:style w:type="character" w:customStyle="1" w:styleId="fontstyle01">
    <w:name w:val="fontstyle01"/>
    <w:basedOn w:val="Policepardfaut"/>
    <w:rsid w:val="009548A6"/>
    <w:rPr>
      <w:rFonts w:ascii="Arial" w:hAnsi="Arial" w:cs="Arial" w:hint="default"/>
      <w:b w:val="0"/>
      <w:bCs w:val="0"/>
      <w:i w:val="0"/>
      <w:iCs w:val="0"/>
      <w:color w:val="000000"/>
      <w:sz w:val="16"/>
      <w:szCs w:val="16"/>
    </w:rPr>
  </w:style>
  <w:style w:type="character" w:customStyle="1" w:styleId="fontstyle21">
    <w:name w:val="fontstyle21"/>
    <w:basedOn w:val="Policepardfaut"/>
    <w:rsid w:val="009548A6"/>
    <w:rPr>
      <w:rFonts w:ascii="Helvetica" w:hAnsi="Helvetica" w:cs="Helvetica" w:hint="default"/>
      <w:b w:val="0"/>
      <w:bCs w:val="0"/>
      <w:i w:val="0"/>
      <w:iCs w:val="0"/>
      <w:color w:val="000000"/>
      <w:sz w:val="16"/>
      <w:szCs w:val="16"/>
    </w:rPr>
  </w:style>
  <w:style w:type="paragraph" w:styleId="Rvision">
    <w:name w:val="Revision"/>
    <w:hidden/>
    <w:uiPriority w:val="99"/>
    <w:semiHidden/>
    <w:rsid w:val="00C76F5B"/>
    <w:pPr>
      <w:spacing w:after="0" w:line="240" w:lineRule="auto"/>
    </w:pPr>
  </w:style>
  <w:style w:type="paragraph" w:styleId="NormalWeb">
    <w:name w:val="Normal (Web)"/>
    <w:basedOn w:val="Normal"/>
    <w:uiPriority w:val="99"/>
    <w:unhideWhenUsed/>
    <w:rsid w:val="004879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nonrsolue1">
    <w:name w:val="Mention non résolue1"/>
    <w:basedOn w:val="Policepardfaut"/>
    <w:uiPriority w:val="99"/>
    <w:semiHidden/>
    <w:unhideWhenUsed/>
    <w:rsid w:val="005614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427303">
      <w:bodyDiv w:val="1"/>
      <w:marLeft w:val="0"/>
      <w:marRight w:val="0"/>
      <w:marTop w:val="0"/>
      <w:marBottom w:val="0"/>
      <w:divBdr>
        <w:top w:val="none" w:sz="0" w:space="0" w:color="auto"/>
        <w:left w:val="none" w:sz="0" w:space="0" w:color="auto"/>
        <w:bottom w:val="none" w:sz="0" w:space="0" w:color="auto"/>
        <w:right w:val="none" w:sz="0" w:space="0" w:color="auto"/>
      </w:divBdr>
    </w:div>
    <w:div w:id="752626164">
      <w:bodyDiv w:val="1"/>
      <w:marLeft w:val="0"/>
      <w:marRight w:val="0"/>
      <w:marTop w:val="0"/>
      <w:marBottom w:val="0"/>
      <w:divBdr>
        <w:top w:val="none" w:sz="0" w:space="0" w:color="auto"/>
        <w:left w:val="none" w:sz="0" w:space="0" w:color="auto"/>
        <w:bottom w:val="none" w:sz="0" w:space="0" w:color="auto"/>
        <w:right w:val="none" w:sz="0" w:space="0" w:color="auto"/>
      </w:divBdr>
      <w:divsChild>
        <w:div w:id="59523231">
          <w:marLeft w:val="0"/>
          <w:marRight w:val="0"/>
          <w:marTop w:val="0"/>
          <w:marBottom w:val="0"/>
          <w:divBdr>
            <w:top w:val="none" w:sz="0" w:space="0" w:color="auto"/>
            <w:left w:val="none" w:sz="0" w:space="0" w:color="auto"/>
            <w:bottom w:val="none" w:sz="0" w:space="0" w:color="auto"/>
            <w:right w:val="none" w:sz="0" w:space="0" w:color="auto"/>
          </w:divBdr>
          <w:divsChild>
            <w:div w:id="1050492592">
              <w:marLeft w:val="0"/>
              <w:marRight w:val="0"/>
              <w:marTop w:val="0"/>
              <w:marBottom w:val="0"/>
              <w:divBdr>
                <w:top w:val="none" w:sz="0" w:space="0" w:color="auto"/>
                <w:left w:val="none" w:sz="0" w:space="0" w:color="auto"/>
                <w:bottom w:val="none" w:sz="0" w:space="0" w:color="auto"/>
                <w:right w:val="none" w:sz="0" w:space="0" w:color="auto"/>
              </w:divBdr>
              <w:divsChild>
                <w:div w:id="1513227820">
                  <w:marLeft w:val="0"/>
                  <w:marRight w:val="0"/>
                  <w:marTop w:val="0"/>
                  <w:marBottom w:val="0"/>
                  <w:divBdr>
                    <w:top w:val="none" w:sz="0" w:space="0" w:color="auto"/>
                    <w:left w:val="none" w:sz="0" w:space="0" w:color="auto"/>
                    <w:bottom w:val="none" w:sz="0" w:space="0" w:color="auto"/>
                    <w:right w:val="none" w:sz="0" w:space="0" w:color="auto"/>
                  </w:divBdr>
                  <w:divsChild>
                    <w:div w:id="1397320033">
                      <w:marLeft w:val="0"/>
                      <w:marRight w:val="0"/>
                      <w:marTop w:val="0"/>
                      <w:marBottom w:val="0"/>
                      <w:divBdr>
                        <w:top w:val="none" w:sz="0" w:space="0" w:color="auto"/>
                        <w:left w:val="none" w:sz="0" w:space="0" w:color="auto"/>
                        <w:bottom w:val="none" w:sz="0" w:space="0" w:color="auto"/>
                        <w:right w:val="none" w:sz="0" w:space="0" w:color="auto"/>
                      </w:divBdr>
                      <w:divsChild>
                        <w:div w:id="10615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617384">
      <w:bodyDiv w:val="1"/>
      <w:marLeft w:val="0"/>
      <w:marRight w:val="0"/>
      <w:marTop w:val="0"/>
      <w:marBottom w:val="0"/>
      <w:divBdr>
        <w:top w:val="none" w:sz="0" w:space="0" w:color="auto"/>
        <w:left w:val="none" w:sz="0" w:space="0" w:color="auto"/>
        <w:bottom w:val="none" w:sz="0" w:space="0" w:color="auto"/>
        <w:right w:val="none" w:sz="0" w:space="0" w:color="auto"/>
      </w:divBdr>
    </w:div>
    <w:div w:id="1637032165">
      <w:bodyDiv w:val="1"/>
      <w:marLeft w:val="0"/>
      <w:marRight w:val="0"/>
      <w:marTop w:val="0"/>
      <w:marBottom w:val="0"/>
      <w:divBdr>
        <w:top w:val="none" w:sz="0" w:space="0" w:color="auto"/>
        <w:left w:val="none" w:sz="0" w:space="0" w:color="auto"/>
        <w:bottom w:val="none" w:sz="0" w:space="0" w:color="auto"/>
        <w:right w:val="none" w:sz="0" w:space="0" w:color="auto"/>
      </w:divBdr>
    </w:div>
    <w:div w:id="1806117398">
      <w:bodyDiv w:val="1"/>
      <w:marLeft w:val="0"/>
      <w:marRight w:val="0"/>
      <w:marTop w:val="0"/>
      <w:marBottom w:val="0"/>
      <w:divBdr>
        <w:top w:val="none" w:sz="0" w:space="0" w:color="auto"/>
        <w:left w:val="none" w:sz="0" w:space="0" w:color="auto"/>
        <w:bottom w:val="none" w:sz="0" w:space="0" w:color="auto"/>
        <w:right w:val="none" w:sz="0" w:space="0" w:color="auto"/>
      </w:divBdr>
    </w:div>
    <w:div w:id="1931696768">
      <w:bodyDiv w:val="1"/>
      <w:marLeft w:val="0"/>
      <w:marRight w:val="0"/>
      <w:marTop w:val="0"/>
      <w:marBottom w:val="0"/>
      <w:divBdr>
        <w:top w:val="none" w:sz="0" w:space="0" w:color="auto"/>
        <w:left w:val="none" w:sz="0" w:space="0" w:color="auto"/>
        <w:bottom w:val="none" w:sz="0" w:space="0" w:color="auto"/>
        <w:right w:val="none" w:sz="0" w:space="0" w:color="auto"/>
      </w:divBdr>
    </w:div>
    <w:div w:id="198620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i.org/fr/le-reseau-h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inte@burkina.hi.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org/fr/politiques-institutionnel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chats@burkinafaso.hi.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82831-C9B2-4F33-885D-8706851E6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2749</Words>
  <Characters>15123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MISSION D’APPUI TECHNIQUE SECURITE ALIMENTAIRE Burkina Faso &amp; Niger</vt:lpstr>
    </vt:vector>
  </TitlesOfParts>
  <Company>HANDICAP INTERNATIONAL</Company>
  <LinksUpToDate>false</LinksUpToDate>
  <CharactersWithSpaces>17837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D’APPUI TECHNIQUE SECURITE ALIMENTAIRE Burkina Faso &amp; Niger</dc:title>
  <dc:subject>Novembre – Décembre 2022</dc:subject>
  <dc:creator>CID</dc:creator>
  <cp:lastModifiedBy>Beatrice PEREZ</cp:lastModifiedBy>
  <cp:revision>4</cp:revision>
  <cp:lastPrinted>2015-12-09T10:33:00Z</cp:lastPrinted>
  <dcterms:created xsi:type="dcterms:W3CDTF">2022-12-21T13:04:00Z</dcterms:created>
  <dcterms:modified xsi:type="dcterms:W3CDTF">2022-12-21T13:11:00Z</dcterms:modified>
</cp:coreProperties>
</file>